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ind w:left="1543" w:right="927" w:hanging="560"/>
        <w:spacing w:before="227" w:line="252" w:lineRule="auto"/>
        <w:outlineLvl w:val="0"/>
        <w:rPr>
          <w:rFonts w:ascii="SimSun" w:hAnsi="SimSun" w:eastAsia="SimSun" w:cs="SimSun"/>
          <w:sz w:val="70"/>
          <w:szCs w:val="70"/>
        </w:rPr>
      </w:pPr>
      <w:r>
        <w:rPr>
          <w:rFonts w:ascii="SimSun" w:hAnsi="SimSun" w:eastAsia="SimSun" w:cs="SimSun"/>
          <w:sz w:val="70"/>
          <w:szCs w:val="70"/>
          <w:spacing w:val="14"/>
        </w:rPr>
        <w:t>台州市新闻传媒中心</w:t>
      </w:r>
      <w:r>
        <w:rPr>
          <w:rFonts w:ascii="SimSun" w:hAnsi="SimSun" w:eastAsia="SimSun" w:cs="SimSun"/>
          <w:sz w:val="70"/>
          <w:szCs w:val="70"/>
        </w:rPr>
        <w:t xml:space="preserve"> </w:t>
      </w:r>
      <w:r>
        <w:rPr>
          <w:rFonts w:ascii="Times New Roman" w:hAnsi="Times New Roman" w:eastAsia="Times New Roman" w:cs="Times New Roman"/>
          <w:sz w:val="70"/>
          <w:szCs w:val="70"/>
          <w:b/>
          <w:bCs/>
          <w:spacing w:val="13"/>
        </w:rPr>
        <w:t>2025 </w:t>
      </w:r>
      <w:r>
        <w:rPr>
          <w:rFonts w:ascii="SimSun" w:hAnsi="SimSun" w:eastAsia="SimSun" w:cs="SimSun"/>
          <w:sz w:val="70"/>
          <w:szCs w:val="70"/>
          <w:spacing w:val="13"/>
        </w:rPr>
        <w:t>年部门预算</w:t>
      </w:r>
    </w:p>
    <w:p>
      <w:pPr>
        <w:spacing w:line="252" w:lineRule="auto"/>
        <w:sectPr>
          <w:pgSz w:w="11910" w:h="16840"/>
          <w:pgMar w:top="1431" w:right="1786" w:bottom="0" w:left="1786" w:header="0" w:footer="0" w:gutter="0"/>
        </w:sectPr>
        <w:rPr>
          <w:rFonts w:ascii="SimSun" w:hAnsi="SimSun" w:eastAsia="SimSun" w:cs="SimSun"/>
          <w:sz w:val="70"/>
          <w:szCs w:val="70"/>
        </w:rPr>
      </w:pPr>
    </w:p>
    <w:sdt>
      <w:sdtPr>
        <w:rPr>
          <w:rFonts w:ascii="SimSun" w:hAnsi="SimSun" w:eastAsia="SimSun" w:cs="SimSun"/>
          <w:sz w:val="29"/>
          <w:szCs w:val="29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>
          <w:pPr>
            <w:pStyle w:val="BodyText"/>
            <w:ind w:left="3880"/>
            <w:spacing w:before="190" w:line="221" w:lineRule="auto"/>
            <w:rPr/>
          </w:pPr>
          <w:r>
            <w:rPr>
              <w:b/>
              <w:bCs/>
              <w:spacing w:val="-37"/>
            </w:rPr>
            <w:t>目</w:t>
          </w:r>
          <w:r>
            <w:rPr>
              <w:spacing w:val="-31"/>
            </w:rPr>
            <w:t xml:space="preserve"> </w:t>
          </w:r>
          <w:r>
            <w:rPr>
              <w:b/>
              <w:bCs/>
              <w:spacing w:val="-37"/>
            </w:rPr>
            <w:t>录</w:t>
          </w:r>
        </w:p>
        <w:p>
          <w:pPr>
            <w:spacing w:before="296" w:line="221" w:lineRule="auto"/>
            <w:tabs>
              <w:tab w:val="right" w:leader="dot" w:pos="806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" w:id="1"/>
          <w:bookmarkEnd w:id="1"/>
          <w:hyperlink w:history="true" w:anchor="bookmark1">
            <w:r>
              <w:rPr>
                <w:rFonts w:ascii="SimHei" w:hAnsi="SimHei" w:eastAsia="SimHei" w:cs="SimHei"/>
                <w:sz w:val="29"/>
                <w:szCs w:val="29"/>
                <w:b/>
                <w:bCs/>
                <w:spacing w:val="15"/>
              </w:rPr>
              <w:t>一</w:t>
            </w:r>
            <w:r>
              <w:rPr>
                <w:rFonts w:ascii="SimHei" w:hAnsi="SimHei" w:eastAsia="SimHei" w:cs="SimHei"/>
                <w:sz w:val="29"/>
                <w:szCs w:val="29"/>
                <w:spacing w:val="-62"/>
              </w:rPr>
              <w:t xml:space="preserve"> </w:t>
            </w:r>
            <w:r>
              <w:rPr>
                <w:rFonts w:ascii="SimHei" w:hAnsi="SimHei" w:eastAsia="SimHei" w:cs="SimHei"/>
                <w:sz w:val="29"/>
                <w:szCs w:val="29"/>
                <w:b/>
                <w:bCs/>
                <w:spacing w:val="15"/>
              </w:rPr>
              <w:t>、部门概况</w:t>
            </w:r>
            <w:r>
              <w:rPr>
                <w:rFonts w:ascii="SimHei" w:hAnsi="SimHei" w:eastAsia="SimHei" w:cs="SimHei"/>
                <w:sz w:val="29"/>
                <w:szCs w:val="29"/>
                <w:spacing w:val="-122"/>
              </w:rPr>
              <w:t xml:space="preserve"> </w:t>
            </w:r>
            <w:r>
              <w:rPr>
                <w:rFonts w:ascii="SimHei" w:hAnsi="SimHei" w:eastAsia="SimHei" w:cs="SimHe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3</w:t>
            </w:r>
          </w:hyperlink>
        </w:p>
        <w:p>
          <w:pPr>
            <w:ind w:left="605"/>
            <w:spacing w:before="270" w:line="228" w:lineRule="auto"/>
            <w:tabs>
              <w:tab w:val="right" w:leader="dot" w:pos="807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2" w:id="2"/>
          <w:bookmarkEnd w:id="2"/>
          <w:hyperlink w:history="true" w:anchor="bookmark2">
            <w:r>
              <w:rPr>
                <w:rFonts w:ascii="KaiTi" w:hAnsi="KaiTi" w:eastAsia="KaiTi" w:cs="KaiTi"/>
                <w:sz w:val="29"/>
                <w:szCs w:val="29"/>
                <w:spacing w:val="-5"/>
              </w:rPr>
              <w:t>(</w:t>
            </w:r>
            <w:r>
              <w:rPr>
                <w:rFonts w:ascii="KaiTi" w:hAnsi="KaiTi" w:eastAsia="KaiTi" w:cs="KaiTi"/>
                <w:sz w:val="29"/>
                <w:szCs w:val="29"/>
                <w:spacing w:val="-62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  <w:spacing w:val="-5"/>
              </w:rPr>
              <w:t>一</w:t>
            </w:r>
            <w:r>
              <w:rPr>
                <w:rFonts w:ascii="KaiTi" w:hAnsi="KaiTi" w:eastAsia="KaiTi" w:cs="KaiTi"/>
                <w:sz w:val="29"/>
                <w:szCs w:val="29"/>
                <w:spacing w:val="-71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  <w:spacing w:val="-5"/>
              </w:rPr>
              <w:t>)</w:t>
            </w:r>
            <w:r>
              <w:rPr>
                <w:rFonts w:ascii="KaiTi" w:hAnsi="KaiTi" w:eastAsia="KaiTi" w:cs="KaiTi"/>
                <w:sz w:val="29"/>
                <w:szCs w:val="29"/>
                <w:spacing w:val="-65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  <w:spacing w:val="-5"/>
              </w:rPr>
              <w:t>主要职能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3</w:t>
            </w:r>
          </w:hyperlink>
        </w:p>
        <w:p>
          <w:pPr>
            <w:ind w:left="605"/>
            <w:spacing w:before="286" w:line="224" w:lineRule="auto"/>
            <w:tabs>
              <w:tab w:val="right" w:leader="dot" w:pos="808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3" w:id="3"/>
          <w:bookmarkEnd w:id="3"/>
          <w:hyperlink w:history="true" w:anchor="bookmark3">
            <w:r>
              <w:rPr>
                <w:rFonts w:ascii="KaiTi" w:hAnsi="KaiTi" w:eastAsia="KaiTi" w:cs="KaiTi"/>
                <w:sz w:val="29"/>
                <w:szCs w:val="29"/>
                <w:spacing w:val="23"/>
              </w:rPr>
              <w:t>(二)</w:t>
            </w:r>
            <w:r>
              <w:rPr>
                <w:rFonts w:ascii="KaiTi" w:hAnsi="KaiTi" w:eastAsia="KaiTi" w:cs="KaiTi"/>
                <w:sz w:val="29"/>
                <w:szCs w:val="29"/>
                <w:spacing w:val="-72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  <w:spacing w:val="23"/>
              </w:rPr>
              <w:t>部门机构设置情况</w:t>
            </w:r>
            <w:r>
              <w:rPr>
                <w:rFonts w:ascii="KaiTi" w:hAnsi="KaiTi" w:eastAsia="KaiTi" w:cs="KaiTi"/>
                <w:sz w:val="29"/>
                <w:szCs w:val="29"/>
                <w:spacing w:val="-133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KaiTi" w:hAnsi="KaiTi" w:eastAsia="KaiTi" w:cs="KaiTi"/>
                <w:sz w:val="29"/>
                <w:szCs w:val="29"/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3</w:t>
            </w:r>
          </w:hyperlink>
        </w:p>
        <w:p>
          <w:pPr>
            <w:pStyle w:val="BodyText"/>
            <w:spacing w:before="286" w:line="219" w:lineRule="auto"/>
            <w:rPr/>
          </w:pPr>
          <w:bookmarkStart w:name="bookmark4" w:id="4"/>
          <w:bookmarkEnd w:id="4"/>
          <w:hyperlink w:history="true" w:anchor="bookmark4">
            <w:r>
              <w:rPr>
                <w:b/>
                <w:bCs/>
                <w:spacing w:val="37"/>
              </w:rPr>
              <w:t>二、2025年台州市新闻传媒中心部门预算安排情况说明3</w:t>
            </w:r>
          </w:hyperlink>
        </w:p>
        <w:p>
          <w:pPr>
            <w:pStyle w:val="BodyText"/>
            <w:ind w:left="615"/>
            <w:spacing w:before="310" w:line="219" w:lineRule="auto"/>
            <w:rPr/>
          </w:pPr>
          <w:bookmarkStart w:name="bookmark5" w:id="5"/>
          <w:bookmarkEnd w:id="5"/>
          <w:hyperlink w:history="true" w:anchor="bookmark5">
            <w:r>
              <w:rPr>
                <w:spacing w:val="12"/>
              </w:rPr>
              <w:t>(</w:t>
            </w:r>
            <w:r>
              <w:rPr>
                <w:spacing w:val="-72"/>
              </w:rPr>
              <w:t xml:space="preserve"> </w:t>
            </w:r>
            <w:r>
              <w:rPr>
                <w:spacing w:val="12"/>
              </w:rPr>
              <w:t>一</w:t>
            </w:r>
            <w:r>
              <w:rPr>
                <w:spacing w:val="-75"/>
              </w:rPr>
              <w:t xml:space="preserve"> </w:t>
            </w:r>
            <w:r>
              <w:rPr>
                <w:spacing w:val="12"/>
              </w:rPr>
              <w:t>)</w:t>
            </w:r>
            <w:r>
              <w:rPr>
                <w:spacing w:val="-48"/>
              </w:rPr>
              <w:t xml:space="preserve"> </w:t>
            </w:r>
            <w:r>
              <w:rPr>
                <w:spacing w:val="12"/>
              </w:rPr>
              <w:t>关于台州市新闻传媒中心2025年收支预算情况的总</w:t>
            </w:r>
          </w:hyperlink>
        </w:p>
        <w:p>
          <w:pPr>
            <w:ind w:left="445"/>
            <w:spacing w:before="264" w:line="232" w:lineRule="auto"/>
            <w:tabs>
              <w:tab w:val="right" w:leader="dot" w:pos="8017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5" w:id="6"/>
          <w:bookmarkEnd w:id="6"/>
          <w:hyperlink w:history="true" w:anchor="bookmark5">
            <w:r>
              <w:rPr>
                <w:rFonts w:ascii="KaiTi" w:hAnsi="KaiTi" w:eastAsia="KaiTi" w:cs="KaiTi"/>
                <w:sz w:val="29"/>
                <w:szCs w:val="29"/>
                <w:spacing w:val="10"/>
              </w:rPr>
              <w:t>体说明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3</w:t>
            </w:r>
          </w:hyperlink>
        </w:p>
        <w:p>
          <w:pPr>
            <w:pStyle w:val="BodyText"/>
            <w:ind w:right="43"/>
            <w:spacing w:before="287" w:line="219" w:lineRule="auto"/>
            <w:jc w:val="right"/>
            <w:rPr/>
          </w:pPr>
          <w:bookmarkStart w:name="bookmark6" w:id="7"/>
          <w:bookmarkEnd w:id="7"/>
          <w:hyperlink w:history="true" w:anchor="bookmark6">
            <w:r>
              <w:rPr>
                <w:spacing w:val="17"/>
              </w:rPr>
              <w:t>(二)</w:t>
            </w:r>
            <w:r>
              <w:rPr>
                <w:spacing w:val="-37"/>
              </w:rPr>
              <w:t xml:space="preserve"> </w:t>
            </w:r>
            <w:r>
              <w:rPr>
                <w:spacing w:val="17"/>
              </w:rPr>
              <w:t>关于台州市新闻传媒中心2025年收入预算情况说明4</w:t>
            </w:r>
          </w:hyperlink>
        </w:p>
        <w:p>
          <w:pPr>
            <w:pStyle w:val="BodyText"/>
            <w:ind w:left="605"/>
            <w:spacing w:before="296" w:line="219" w:lineRule="auto"/>
            <w:rPr/>
          </w:pPr>
          <w:bookmarkStart w:name="bookmark7" w:id="8"/>
          <w:bookmarkEnd w:id="8"/>
          <w:hyperlink w:history="true" w:anchor="bookmark7">
            <w:r>
              <w:rPr>
                <w:spacing w:val="17"/>
              </w:rPr>
              <w:t>(三)</w:t>
            </w:r>
            <w:r>
              <w:rPr>
                <w:spacing w:val="-48"/>
              </w:rPr>
              <w:t xml:space="preserve"> </w:t>
            </w:r>
            <w:r>
              <w:rPr>
                <w:spacing w:val="17"/>
              </w:rPr>
              <w:t>关于台州市新闻传媒中心2025年</w:t>
            </w:r>
            <w:r>
              <w:rPr>
                <w:spacing w:val="16"/>
              </w:rPr>
              <w:t>支出预算情况说明4</w:t>
            </w:r>
          </w:hyperlink>
        </w:p>
        <w:p>
          <w:pPr>
            <w:pStyle w:val="BodyText"/>
            <w:ind w:left="605"/>
            <w:spacing w:before="296" w:line="219" w:lineRule="auto"/>
            <w:rPr/>
          </w:pPr>
          <w:bookmarkStart w:name="bookmark8" w:id="9"/>
          <w:bookmarkEnd w:id="9"/>
          <w:hyperlink w:history="true" w:anchor="bookmark8">
            <w:r>
              <w:rPr>
                <w:spacing w:val="17"/>
              </w:rPr>
              <w:t>(四)</w:t>
            </w:r>
            <w:r>
              <w:rPr>
                <w:spacing w:val="-49"/>
              </w:rPr>
              <w:t xml:space="preserve"> </w:t>
            </w:r>
            <w:r>
              <w:rPr>
                <w:spacing w:val="17"/>
              </w:rPr>
              <w:t>关于台州市新闻传媒中心2025年财政拨款收</w:t>
            </w:r>
            <w:r>
              <w:rPr>
                <w:spacing w:val="16"/>
              </w:rPr>
              <w:t>支预算</w:t>
            </w:r>
          </w:hyperlink>
        </w:p>
        <w:p>
          <w:pPr>
            <w:ind w:left="445"/>
            <w:spacing w:before="286" w:line="227" w:lineRule="auto"/>
            <w:tabs>
              <w:tab w:val="right" w:leader="dot" w:pos="8065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8" w:id="10"/>
          <w:bookmarkEnd w:id="10"/>
          <w:hyperlink w:history="true" w:anchor="bookmark8">
            <w:r>
              <w:rPr>
                <w:rFonts w:ascii="KaiTi" w:hAnsi="KaiTi" w:eastAsia="KaiTi" w:cs="KaiTi"/>
                <w:sz w:val="29"/>
                <w:szCs w:val="29"/>
                <w:spacing w:val="8"/>
              </w:rPr>
              <w:t>情况的总体说明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5</w:t>
            </w:r>
          </w:hyperlink>
        </w:p>
        <w:p>
          <w:pPr>
            <w:pStyle w:val="BodyText"/>
            <w:ind w:left="605"/>
            <w:spacing w:before="294" w:line="219" w:lineRule="auto"/>
            <w:rPr/>
          </w:pPr>
          <w:bookmarkStart w:name="bookmark9" w:id="11"/>
          <w:bookmarkEnd w:id="11"/>
          <w:hyperlink w:history="true" w:anchor="bookmark9">
            <w:r>
              <w:rPr>
                <w:spacing w:val="14"/>
              </w:rPr>
              <w:t>(</w:t>
            </w:r>
            <w:r>
              <w:rPr>
                <w:spacing w:val="-52"/>
              </w:rPr>
              <w:t xml:space="preserve"> </w:t>
            </w:r>
            <w:r>
              <w:rPr>
                <w:spacing w:val="14"/>
              </w:rPr>
              <w:t>五</w:t>
            </w:r>
            <w:r>
              <w:rPr>
                <w:spacing w:val="-65"/>
              </w:rPr>
              <w:t xml:space="preserve"> </w:t>
            </w:r>
            <w:r>
              <w:rPr>
                <w:spacing w:val="14"/>
              </w:rPr>
              <w:t>)关于台州市新闻传媒中心2025年一般公共预算当年</w:t>
            </w:r>
          </w:hyperlink>
        </w:p>
        <w:p>
          <w:pPr>
            <w:ind w:left="445"/>
            <w:spacing w:before="286" w:line="227" w:lineRule="auto"/>
            <w:tabs>
              <w:tab w:val="right" w:leader="dot" w:pos="8095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9" w:id="12"/>
          <w:bookmarkEnd w:id="12"/>
          <w:hyperlink w:history="true" w:anchor="bookmark9">
            <w:r>
              <w:rPr>
                <w:rFonts w:ascii="KaiTi" w:hAnsi="KaiTi" w:eastAsia="KaiTi" w:cs="KaiTi"/>
                <w:sz w:val="29"/>
                <w:szCs w:val="29"/>
                <w:spacing w:val="8"/>
              </w:rPr>
              <w:t>拨款情况说明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5</w:t>
            </w:r>
          </w:hyperlink>
        </w:p>
        <w:p>
          <w:pPr>
            <w:pStyle w:val="BodyText"/>
            <w:ind w:left="605"/>
            <w:spacing w:before="283" w:line="219" w:lineRule="auto"/>
            <w:rPr/>
          </w:pPr>
          <w:bookmarkStart w:name="bookmark10" w:id="13"/>
          <w:bookmarkEnd w:id="13"/>
          <w:hyperlink w:history="true" w:anchor="bookmark10">
            <w:r>
              <w:rPr>
                <w:spacing w:val="12"/>
              </w:rPr>
              <w:t>(</w:t>
            </w:r>
            <w:r>
              <w:rPr>
                <w:spacing w:val="-64"/>
              </w:rPr>
              <w:t xml:space="preserve"> </w:t>
            </w:r>
            <w:r>
              <w:rPr>
                <w:spacing w:val="12"/>
              </w:rPr>
              <w:t>六</w:t>
            </w:r>
            <w:r>
              <w:rPr>
                <w:spacing w:val="-64"/>
              </w:rPr>
              <w:t xml:space="preserve"> </w:t>
            </w:r>
            <w:r>
              <w:rPr>
                <w:spacing w:val="12"/>
              </w:rPr>
              <w:t>)</w:t>
            </w:r>
            <w:r>
              <w:rPr>
                <w:spacing w:val="-69"/>
              </w:rPr>
              <w:t xml:space="preserve"> </w:t>
            </w:r>
            <w:r>
              <w:rPr>
                <w:spacing w:val="12"/>
              </w:rPr>
              <w:t>关于台州市新闻传媒中心2025年一般公共预算基本</w:t>
            </w:r>
          </w:hyperlink>
        </w:p>
        <w:p>
          <w:pPr>
            <w:ind w:left="445"/>
            <w:spacing w:before="296" w:line="227" w:lineRule="auto"/>
            <w:tabs>
              <w:tab w:val="right" w:leader="dot" w:pos="8077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0" w:id="14"/>
          <w:bookmarkEnd w:id="14"/>
          <w:hyperlink w:history="true" w:anchor="bookmark10">
            <w:r>
              <w:rPr>
                <w:rFonts w:ascii="KaiTi" w:hAnsi="KaiTi" w:eastAsia="KaiTi" w:cs="KaiTi"/>
                <w:sz w:val="29"/>
                <w:szCs w:val="29"/>
                <w:spacing w:val="5"/>
              </w:rPr>
              <w:t>支出情况说明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6</w:t>
            </w:r>
          </w:hyperlink>
        </w:p>
        <w:p>
          <w:pPr>
            <w:pStyle w:val="BodyText"/>
            <w:ind w:left="615"/>
            <w:spacing w:before="284" w:line="219" w:lineRule="auto"/>
            <w:rPr/>
          </w:pPr>
          <w:bookmarkStart w:name="bookmark11" w:id="15"/>
          <w:bookmarkEnd w:id="15"/>
          <w:hyperlink w:history="true" w:anchor="bookmark11">
            <w:r>
              <w:rPr>
                <w:spacing w:val="16"/>
              </w:rPr>
              <w:t>(七)</w:t>
            </w:r>
            <w:r>
              <w:rPr>
                <w:spacing w:val="-33"/>
              </w:rPr>
              <w:t xml:space="preserve"> </w:t>
            </w:r>
            <w:r>
              <w:rPr>
                <w:spacing w:val="16"/>
              </w:rPr>
              <w:t>关于台州市新闻传媒中心2025年政府性基金预算支</w:t>
            </w:r>
          </w:hyperlink>
        </w:p>
        <w:p>
          <w:pPr>
            <w:ind w:left="445"/>
            <w:spacing w:before="236" w:line="227" w:lineRule="auto"/>
            <w:tabs>
              <w:tab w:val="right" w:leader="dot" w:pos="8097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1" w:id="16"/>
          <w:bookmarkEnd w:id="16"/>
          <w:hyperlink w:history="true" w:anchor="bookmark11">
            <w:r>
              <w:rPr>
                <w:rFonts w:ascii="KaiTi" w:hAnsi="KaiTi" w:eastAsia="KaiTi" w:cs="KaiTi"/>
                <w:sz w:val="29"/>
                <w:szCs w:val="29"/>
              </w:rPr>
              <w:t>出情况说明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6</w:t>
            </w:r>
          </w:hyperlink>
        </w:p>
        <w:p>
          <w:pPr>
            <w:spacing w:line="247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605"/>
            <w:spacing w:before="95" w:line="219" w:lineRule="auto"/>
            <w:rPr/>
          </w:pPr>
          <w:bookmarkStart w:name="bookmark12" w:id="17"/>
          <w:bookmarkEnd w:id="17"/>
          <w:hyperlink w:history="true" w:anchor="bookmark12">
            <w:r>
              <w:rPr>
                <w:spacing w:val="17"/>
              </w:rPr>
              <w:t>(八)</w:t>
            </w:r>
            <w:r>
              <w:rPr>
                <w:spacing w:val="-42"/>
              </w:rPr>
              <w:t xml:space="preserve"> </w:t>
            </w:r>
            <w:r>
              <w:rPr>
                <w:spacing w:val="17"/>
              </w:rPr>
              <w:t>关于台州市新闻传媒中心2025年国有资本经营预算</w:t>
            </w:r>
          </w:hyperlink>
        </w:p>
        <w:p>
          <w:pPr>
            <w:ind w:left="445"/>
            <w:spacing w:before="235" w:line="227" w:lineRule="auto"/>
            <w:tabs>
              <w:tab w:val="right" w:leader="dot" w:pos="8107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2" w:id="18"/>
          <w:bookmarkEnd w:id="18"/>
          <w:hyperlink w:history="true" w:anchor="bookmark12">
            <w:r>
              <w:rPr>
                <w:rFonts w:ascii="KaiTi" w:hAnsi="KaiTi" w:eastAsia="KaiTi" w:cs="KaiTi"/>
                <w:sz w:val="29"/>
                <w:szCs w:val="29"/>
                <w:spacing w:val="5"/>
              </w:rPr>
              <w:t>支出情况说明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6</w:t>
            </w:r>
          </w:hyperlink>
        </w:p>
        <w:p>
          <w:pPr>
            <w:pStyle w:val="BodyText"/>
            <w:ind w:left="605"/>
            <w:spacing w:before="334" w:line="219" w:lineRule="auto"/>
            <w:rPr/>
          </w:pPr>
          <w:bookmarkStart w:name="bookmark13" w:id="19"/>
          <w:bookmarkEnd w:id="19"/>
          <w:hyperlink w:history="true" w:anchor="bookmark13">
            <w:r>
              <w:rPr>
                <w:spacing w:val="17"/>
              </w:rPr>
              <w:t>(九)</w:t>
            </w:r>
            <w:r>
              <w:rPr>
                <w:spacing w:val="-34"/>
              </w:rPr>
              <w:t xml:space="preserve"> </w:t>
            </w:r>
            <w:r>
              <w:rPr>
                <w:spacing w:val="17"/>
              </w:rPr>
              <w:t>关于台州市新闻传媒中心2025年一般公共预算“三</w:t>
            </w:r>
          </w:hyperlink>
        </w:p>
        <w:p>
          <w:pPr>
            <w:ind w:left="445"/>
            <w:spacing w:before="284" w:line="225" w:lineRule="auto"/>
            <w:tabs>
              <w:tab w:val="right" w:leader="dot" w:pos="8080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3" w:id="20"/>
          <w:bookmarkEnd w:id="20"/>
          <w:hyperlink w:history="true" w:anchor="bookmark13">
            <w:r>
              <w:rPr>
                <w:rFonts w:ascii="KaiTi" w:hAnsi="KaiTi" w:eastAsia="KaiTi" w:cs="KaiTi"/>
                <w:sz w:val="29"/>
                <w:szCs w:val="29"/>
                <w:spacing w:val="10"/>
              </w:rPr>
              <w:t>公”经费预算情况说明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7</w:t>
            </w:r>
          </w:hyperlink>
        </w:p>
        <w:p>
          <w:pPr>
            <w:ind w:left="605"/>
            <w:spacing w:before="286" w:line="224" w:lineRule="auto"/>
            <w:tabs>
              <w:tab w:val="right" w:leader="dot" w:pos="8072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4" w:id="21"/>
          <w:bookmarkEnd w:id="21"/>
          <w:hyperlink w:history="true" w:anchor="bookmark14">
            <w:r>
              <w:rPr>
                <w:rFonts w:ascii="KaiTi" w:hAnsi="KaiTi" w:eastAsia="KaiTi" w:cs="KaiTi"/>
                <w:sz w:val="29"/>
                <w:szCs w:val="29"/>
                <w:spacing w:val="7"/>
              </w:rPr>
              <w:t>(</w:t>
            </w:r>
            <w:r>
              <w:rPr>
                <w:rFonts w:ascii="KaiTi" w:hAnsi="KaiTi" w:eastAsia="KaiTi" w:cs="KaiTi"/>
                <w:sz w:val="29"/>
                <w:szCs w:val="29"/>
                <w:spacing w:val="-51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  <w:spacing w:val="7"/>
              </w:rPr>
              <w:t>十</w:t>
            </w:r>
            <w:r>
              <w:rPr>
                <w:rFonts w:ascii="KaiTi" w:hAnsi="KaiTi" w:eastAsia="KaiTi" w:cs="KaiTi"/>
                <w:sz w:val="29"/>
                <w:szCs w:val="29"/>
                <w:spacing w:val="-66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  <w:spacing w:val="7"/>
              </w:rPr>
              <w:t>)其他重要事项的情况说明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KaiTi" w:hAnsi="KaiTi" w:eastAsia="KaiTi" w:cs="KaiTi"/>
                <w:sz w:val="29"/>
                <w:szCs w:val="29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8</w:t>
            </w:r>
          </w:hyperlink>
        </w:p>
      </w:sdtContent>
    </w:sdt>
    <w:p>
      <w:pPr>
        <w:spacing w:line="224" w:lineRule="auto"/>
        <w:sectPr>
          <w:footerReference w:type="default" r:id="rId1"/>
          <w:pgSz w:w="11910" w:h="16840"/>
          <w:pgMar w:top="1431" w:right="1786" w:bottom="1157" w:left="1784" w:header="0" w:footer="976" w:gutter="0"/>
        </w:sectPr>
        <w:rPr>
          <w:rFonts w:ascii="Times New Roman" w:hAnsi="Times New Roman" w:eastAsia="Times New Roman" w:cs="Times New Roman"/>
          <w:sz w:val="29"/>
          <w:szCs w:val="29"/>
        </w:rPr>
      </w:pPr>
    </w:p>
    <w:sdt>
      <w:sdtPr>
        <w:rPr>
          <w:rFonts w:ascii="SimHei" w:hAnsi="SimHei" w:eastAsia="SimHei" w:cs="SimHei"/>
          <w:sz w:val="29"/>
          <w:szCs w:val="29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>
          <w:pPr>
            <w:ind w:left="27"/>
            <w:spacing w:before="196" w:line="222" w:lineRule="auto"/>
            <w:tabs>
              <w:tab w:val="right" w:leader="dot" w:pos="8120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5" w:id="22"/>
          <w:bookmarkEnd w:id="22"/>
          <w:hyperlink w:history="true" w:anchor="bookmark15">
            <w:r>
              <w:rPr>
                <w:rFonts w:ascii="SimHei" w:hAnsi="SimHei" w:eastAsia="SimHei" w:cs="SimHei"/>
                <w:sz w:val="29"/>
                <w:szCs w:val="29"/>
                <w:b/>
                <w:bCs/>
                <w:spacing w:val="24"/>
              </w:rPr>
              <w:t>三、名词解释</w:t>
            </w:r>
            <w:r>
              <w:rPr>
                <w:rFonts w:ascii="SimHei" w:hAnsi="SimHei" w:eastAsia="SimHei" w:cs="SimHei"/>
                <w:sz w:val="29"/>
                <w:szCs w:val="29"/>
                <w:spacing w:val="-123"/>
              </w:rPr>
              <w:t xml:space="preserve"> </w:t>
            </w:r>
            <w:r>
              <w:rPr>
                <w:rFonts w:ascii="SimHei" w:hAnsi="SimHei" w:eastAsia="SimHei" w:cs="SimHe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8</w:t>
            </w:r>
          </w:hyperlink>
        </w:p>
        <w:p>
          <w:pPr>
            <w:ind w:left="27"/>
            <w:spacing w:before="288" w:line="221" w:lineRule="auto"/>
            <w:tabs>
              <w:tab w:val="right" w:leader="dot" w:pos="810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6" w:id="23"/>
          <w:bookmarkEnd w:id="23"/>
          <w:hyperlink w:history="true" w:anchor="bookmark16">
            <w:r>
              <w:rPr>
                <w:rFonts w:ascii="SimHei" w:hAnsi="SimHei" w:eastAsia="SimHei" w:cs="SimHei"/>
                <w:sz w:val="29"/>
                <w:szCs w:val="29"/>
                <w:b/>
                <w:bCs/>
                <w:spacing w:val="24"/>
              </w:rPr>
              <w:t>四、2025年台州市新闻传媒中心部门预算公开表</w:t>
            </w:r>
            <w:r>
              <w:rPr>
                <w:rFonts w:ascii="SimHei" w:hAnsi="SimHei" w:eastAsia="SimHei" w:cs="SimHei"/>
                <w:sz w:val="29"/>
                <w:szCs w:val="29"/>
                <w:spacing w:val="-113"/>
              </w:rPr>
              <w:t xml:space="preserve"> </w:t>
            </w:r>
            <w:r>
              <w:rPr>
                <w:rFonts w:ascii="SimHei" w:hAnsi="SimHei" w:eastAsia="SimHei" w:cs="SimHe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9"/>
              </w:rPr>
              <w:t>11</w:t>
            </w:r>
          </w:hyperlink>
        </w:p>
        <w:p>
          <w:pPr>
            <w:ind w:left="613"/>
            <w:spacing w:before="265" w:line="224" w:lineRule="auto"/>
            <w:tabs>
              <w:tab w:val="right" w:leader="dot" w:pos="815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7" w:id="24"/>
          <w:bookmarkEnd w:id="24"/>
          <w:hyperlink w:history="true" w:anchor="bookmark17">
            <w:r>
              <w:rPr>
                <w:rFonts w:ascii="KaiTi" w:hAnsi="KaiTi" w:eastAsia="KaiTi" w:cs="KaiTi"/>
                <w:sz w:val="29"/>
                <w:szCs w:val="29"/>
                <w:spacing w:val="22"/>
              </w:rPr>
              <w:t>(一)2025年部门收支预算总表</w:t>
            </w:r>
            <w:r>
              <w:rPr>
                <w:rFonts w:ascii="KaiTi" w:hAnsi="KaiTi" w:eastAsia="KaiTi" w:cs="KaiTi"/>
                <w:sz w:val="29"/>
                <w:szCs w:val="29"/>
                <w:spacing w:val="-128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11"/>
              </w:rPr>
              <w:t>11</w:t>
            </w:r>
          </w:hyperlink>
        </w:p>
        <w:p>
          <w:pPr>
            <w:ind w:left="613"/>
            <w:spacing w:before="288" w:line="224" w:lineRule="auto"/>
            <w:tabs>
              <w:tab w:val="right" w:leader="dot" w:pos="811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8" w:id="25"/>
          <w:bookmarkEnd w:id="25"/>
          <w:hyperlink w:history="true" w:anchor="bookmark18">
            <w:r>
              <w:rPr>
                <w:rFonts w:ascii="KaiTi" w:hAnsi="KaiTi" w:eastAsia="KaiTi" w:cs="KaiTi"/>
                <w:sz w:val="29"/>
                <w:szCs w:val="29"/>
                <w:spacing w:val="22"/>
              </w:rPr>
              <w:t>(二)2025年部门收入预算总表</w:t>
            </w:r>
            <w:r>
              <w:rPr>
                <w:rFonts w:ascii="KaiTi" w:hAnsi="KaiTi" w:eastAsia="KaiTi" w:cs="KaiTi"/>
                <w:sz w:val="29"/>
                <w:szCs w:val="29"/>
                <w:spacing w:val="-128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9"/>
              </w:rPr>
              <w:t>12</w:t>
            </w:r>
          </w:hyperlink>
        </w:p>
        <w:p>
          <w:pPr>
            <w:ind w:left="613"/>
            <w:spacing w:before="288" w:line="224" w:lineRule="auto"/>
            <w:tabs>
              <w:tab w:val="right" w:leader="dot" w:pos="811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19" w:id="26"/>
          <w:bookmarkEnd w:id="26"/>
          <w:hyperlink w:history="true" w:anchor="bookmark19">
            <w:r>
              <w:rPr>
                <w:rFonts w:ascii="KaiTi" w:hAnsi="KaiTi" w:eastAsia="KaiTi" w:cs="KaiTi"/>
                <w:sz w:val="29"/>
                <w:szCs w:val="29"/>
                <w:spacing w:val="22"/>
              </w:rPr>
              <w:t>(三)2025年部门支出预算总表</w:t>
            </w:r>
            <w:r>
              <w:rPr>
                <w:rFonts w:ascii="KaiTi" w:hAnsi="KaiTi" w:eastAsia="KaiTi" w:cs="KaiTi"/>
                <w:sz w:val="29"/>
                <w:szCs w:val="29"/>
                <w:spacing w:val="-128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9"/>
              </w:rPr>
              <w:t>13</w:t>
            </w:r>
          </w:hyperlink>
        </w:p>
        <w:p>
          <w:pPr>
            <w:ind w:left="613"/>
            <w:spacing w:before="288" w:line="224" w:lineRule="auto"/>
            <w:tabs>
              <w:tab w:val="right" w:leader="dot" w:pos="805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20" w:id="27"/>
          <w:bookmarkEnd w:id="27"/>
          <w:hyperlink w:history="true" w:anchor="bookmark20">
            <w:r>
              <w:rPr>
                <w:rFonts w:ascii="KaiTi" w:hAnsi="KaiTi" w:eastAsia="KaiTi" w:cs="KaiTi"/>
                <w:sz w:val="29"/>
                <w:szCs w:val="29"/>
                <w:spacing w:val="19"/>
              </w:rPr>
              <w:t>(四)2025年部门财政拨款收支预算总表</w:t>
            </w:r>
            <w:r>
              <w:rPr>
                <w:rFonts w:ascii="KaiTi" w:hAnsi="KaiTi" w:eastAsia="KaiTi" w:cs="KaiTi"/>
                <w:sz w:val="29"/>
                <w:szCs w:val="29"/>
                <w:spacing w:val="-127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9"/>
              </w:rPr>
              <w:t>14</w:t>
            </w:r>
          </w:hyperlink>
        </w:p>
        <w:p>
          <w:pPr>
            <w:ind w:left="613"/>
            <w:spacing w:before="288" w:line="224" w:lineRule="auto"/>
            <w:tabs>
              <w:tab w:val="right" w:leader="dot" w:pos="809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21" w:id="28"/>
          <w:bookmarkEnd w:id="28"/>
          <w:hyperlink w:history="true" w:anchor="bookmark21">
            <w:r>
              <w:rPr>
                <w:rFonts w:ascii="KaiTi" w:hAnsi="KaiTi" w:eastAsia="KaiTi" w:cs="KaiTi"/>
                <w:sz w:val="29"/>
                <w:szCs w:val="29"/>
                <w:spacing w:val="19"/>
              </w:rPr>
              <w:t>(五)2025年部门一般公共预算支出表</w:t>
            </w:r>
            <w:r>
              <w:rPr>
                <w:rFonts w:ascii="KaiTi" w:hAnsi="KaiTi" w:eastAsia="KaiTi" w:cs="KaiTi"/>
                <w:sz w:val="29"/>
                <w:szCs w:val="29"/>
                <w:spacing w:val="-117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9"/>
              </w:rPr>
              <w:t>15</w:t>
            </w:r>
          </w:hyperlink>
        </w:p>
        <w:p>
          <w:pPr>
            <w:ind w:left="613"/>
            <w:spacing w:before="278" w:line="224" w:lineRule="auto"/>
            <w:tabs>
              <w:tab w:val="right" w:leader="dot" w:pos="811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22" w:id="29"/>
          <w:bookmarkEnd w:id="29"/>
          <w:hyperlink w:history="true" w:anchor="bookmark22">
            <w:r>
              <w:rPr>
                <w:rFonts w:ascii="KaiTi" w:hAnsi="KaiTi" w:eastAsia="KaiTi" w:cs="KaiTi"/>
                <w:sz w:val="29"/>
                <w:szCs w:val="29"/>
                <w:spacing w:val="18"/>
              </w:rPr>
              <w:t>(六)2025年部门一般公共预算基本支出表</w:t>
            </w:r>
            <w:r>
              <w:rPr>
                <w:rFonts w:ascii="KaiTi" w:hAnsi="KaiTi" w:eastAsia="KaiTi" w:cs="KaiTi"/>
                <w:sz w:val="29"/>
                <w:szCs w:val="29"/>
                <w:spacing w:val="-115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9"/>
              </w:rPr>
              <w:t>16</w:t>
            </w:r>
          </w:hyperlink>
        </w:p>
        <w:p>
          <w:pPr>
            <w:ind w:left="613"/>
            <w:spacing w:before="288" w:line="224" w:lineRule="auto"/>
            <w:tabs>
              <w:tab w:val="right" w:leader="dot" w:pos="811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23" w:id="30"/>
          <w:bookmarkEnd w:id="30"/>
          <w:hyperlink w:history="true" w:anchor="bookmark23">
            <w:r>
              <w:rPr>
                <w:rFonts w:ascii="KaiTi" w:hAnsi="KaiTi" w:eastAsia="KaiTi" w:cs="KaiTi"/>
                <w:sz w:val="29"/>
                <w:szCs w:val="29"/>
                <w:spacing w:val="17"/>
              </w:rPr>
              <w:t>(七)2025年部门一般公共预算"三公"经费支出表</w:t>
            </w:r>
            <w:r>
              <w:rPr>
                <w:rFonts w:ascii="KaiTi" w:hAnsi="KaiTi" w:eastAsia="KaiTi" w:cs="KaiTi"/>
                <w:sz w:val="29"/>
                <w:szCs w:val="29"/>
                <w:spacing w:val="-131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8"/>
              </w:rPr>
              <w:t>17</w:t>
            </w:r>
          </w:hyperlink>
        </w:p>
        <w:p>
          <w:pPr>
            <w:ind w:left="613"/>
            <w:spacing w:before="288" w:line="224" w:lineRule="auto"/>
            <w:tabs>
              <w:tab w:val="right" w:leader="dot" w:pos="811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24" w:id="31"/>
          <w:bookmarkEnd w:id="31"/>
          <w:hyperlink w:history="true" w:anchor="bookmark24">
            <w:r>
              <w:rPr>
                <w:rFonts w:ascii="KaiTi" w:hAnsi="KaiTi" w:eastAsia="KaiTi" w:cs="KaiTi"/>
                <w:sz w:val="29"/>
                <w:szCs w:val="29"/>
                <w:spacing w:val="19"/>
              </w:rPr>
              <w:t>(八)2025年部门政府性基金预算支出表</w:t>
            </w:r>
            <w:r>
              <w:rPr>
                <w:rFonts w:ascii="KaiTi" w:hAnsi="KaiTi" w:eastAsia="KaiTi" w:cs="KaiTi"/>
                <w:sz w:val="29"/>
                <w:szCs w:val="29"/>
                <w:spacing w:val="-127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9"/>
              </w:rPr>
              <w:t>18</w:t>
            </w:r>
          </w:hyperlink>
        </w:p>
        <w:p>
          <w:pPr>
            <w:ind w:left="613"/>
            <w:spacing w:before="288" w:line="224" w:lineRule="auto"/>
            <w:tabs>
              <w:tab w:val="right" w:leader="dot" w:pos="8069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25" w:id="32"/>
          <w:bookmarkEnd w:id="32"/>
          <w:hyperlink w:history="true" w:anchor="bookmark25">
            <w:r>
              <w:rPr>
                <w:rFonts w:ascii="KaiTi" w:hAnsi="KaiTi" w:eastAsia="KaiTi" w:cs="KaiTi"/>
                <w:sz w:val="29"/>
                <w:szCs w:val="29"/>
                <w:spacing w:val="18"/>
              </w:rPr>
              <w:t>(九)2025年部门国有资本经营预算支出表</w:t>
            </w:r>
            <w:r>
              <w:rPr>
                <w:rFonts w:ascii="KaiTi" w:hAnsi="KaiTi" w:eastAsia="KaiTi" w:cs="KaiTi"/>
                <w:sz w:val="29"/>
                <w:szCs w:val="29"/>
                <w:spacing w:val="-125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9"/>
              </w:rPr>
              <w:t>19</w:t>
            </w:r>
          </w:hyperlink>
        </w:p>
        <w:p>
          <w:pPr>
            <w:ind w:left="613"/>
            <w:spacing w:before="288" w:line="224" w:lineRule="auto"/>
            <w:tabs>
              <w:tab w:val="right" w:leader="dot" w:pos="8137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26" w:id="33"/>
          <w:bookmarkEnd w:id="33"/>
          <w:hyperlink w:history="true" w:anchor="bookmark26">
            <w:r>
              <w:rPr>
                <w:rFonts w:ascii="KaiTi" w:hAnsi="KaiTi" w:eastAsia="KaiTi" w:cs="KaiTi"/>
                <w:sz w:val="29"/>
                <w:szCs w:val="29"/>
                <w:spacing w:val="21"/>
              </w:rPr>
              <w:t>(十)2025年部门项目支出预算表</w:t>
            </w:r>
            <w:r>
              <w:rPr>
                <w:rFonts w:ascii="KaiTi" w:hAnsi="KaiTi" w:eastAsia="KaiTi" w:cs="KaiTi"/>
                <w:sz w:val="29"/>
                <w:szCs w:val="29"/>
                <w:spacing w:val="-133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2"/>
              </w:rPr>
              <w:t>20</w:t>
            </w:r>
          </w:hyperlink>
        </w:p>
        <w:p>
          <w:pPr>
            <w:ind w:left="613"/>
            <w:spacing w:before="260" w:line="212" w:lineRule="auto"/>
            <w:tabs>
              <w:tab w:val="right" w:leader="dot" w:pos="8177"/>
            </w:tabs>
            <w:rPr>
              <w:rFonts w:ascii="Times New Roman" w:hAnsi="Times New Roman" w:eastAsia="Times New Roman" w:cs="Times New Roman"/>
              <w:sz w:val="29"/>
              <w:szCs w:val="29"/>
            </w:rPr>
          </w:pPr>
          <w:bookmarkStart w:name="bookmark27" w:id="34"/>
          <w:bookmarkEnd w:id="34"/>
          <w:hyperlink w:history="true" w:anchor="bookmark27"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23"/>
              </w:rPr>
              <w:t>(</w:t>
            </w:r>
            <w:r>
              <w:rPr>
                <w:rFonts w:ascii="KaiTi" w:hAnsi="KaiTi" w:eastAsia="KaiTi" w:cs="KaiTi"/>
                <w:sz w:val="29"/>
                <w:szCs w:val="29"/>
                <w:spacing w:val="23"/>
              </w:rPr>
              <w:t>十一)2025年部门项目支出绩效表</w:t>
            </w:r>
            <w:r>
              <w:rPr>
                <w:rFonts w:ascii="KaiTi" w:hAnsi="KaiTi" w:eastAsia="KaiTi" w:cs="KaiTi"/>
                <w:sz w:val="29"/>
                <w:szCs w:val="29"/>
                <w:spacing w:val="-122"/>
              </w:rPr>
              <w:t xml:space="preserve"> </w:t>
            </w:r>
            <w:r>
              <w:rPr>
                <w:rFonts w:ascii="KaiTi" w:hAnsi="KaiTi" w:eastAsia="KaiTi" w:cs="KaiTi"/>
                <w:sz w:val="29"/>
                <w:szCs w:val="29"/>
              </w:rPr>
              <w:tab/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2"/>
              </w:rPr>
              <w:t>21</w:t>
            </w:r>
          </w:hyperlink>
        </w:p>
      </w:sdtContent>
    </w:sdt>
    <w:p>
      <w:pPr>
        <w:spacing w:line="212" w:lineRule="auto"/>
        <w:sectPr>
          <w:footerReference w:type="default" r:id="rId2"/>
          <w:pgSz w:w="11910" w:h="16840"/>
          <w:pgMar w:top="1431" w:right="1786" w:bottom="1157" w:left="1786" w:header="0" w:footer="976" w:gutter="0"/>
        </w:sectPr>
        <w:rPr>
          <w:rFonts w:ascii="Times New Roman" w:hAnsi="Times New Roman" w:eastAsia="Times New Roman" w:cs="Times New Roman"/>
          <w:sz w:val="29"/>
          <w:szCs w:val="29"/>
        </w:rPr>
      </w:pPr>
    </w:p>
    <w:p>
      <w:pPr>
        <w:ind w:left="684"/>
        <w:spacing w:before="174" w:line="221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1" w:id="35"/>
      <w:bookmarkEnd w:id="35"/>
      <w:r>
        <w:rPr>
          <w:rFonts w:ascii="SimHei" w:hAnsi="SimHei" w:eastAsia="SimHei" w:cs="SimHei"/>
          <w:sz w:val="31"/>
          <w:szCs w:val="31"/>
          <w:b/>
          <w:bCs/>
          <w:spacing w:val="2"/>
        </w:rPr>
        <w:t>一、部门概况</w:t>
      </w:r>
    </w:p>
    <w:p>
      <w:pPr>
        <w:ind w:left="850"/>
        <w:spacing w:before="186" w:line="228" w:lineRule="auto"/>
        <w:outlineLvl w:val="1"/>
        <w:rPr>
          <w:rFonts w:ascii="KaiTi" w:hAnsi="KaiTi" w:eastAsia="KaiTi" w:cs="KaiTi"/>
          <w:sz w:val="31"/>
          <w:szCs w:val="31"/>
        </w:rPr>
      </w:pPr>
      <w:bookmarkStart w:name="bookmark2" w:id="36"/>
      <w:bookmarkEnd w:id="36"/>
      <w:r>
        <w:rPr>
          <w:rFonts w:ascii="KaiTi" w:hAnsi="KaiTi" w:eastAsia="KaiTi" w:cs="KaiTi"/>
          <w:sz w:val="31"/>
          <w:szCs w:val="31"/>
          <w:spacing w:val="27"/>
        </w:rPr>
        <w:t>(一)主要职能</w:t>
      </w:r>
    </w:p>
    <w:p>
      <w:pPr>
        <w:pStyle w:val="BodyText"/>
        <w:ind w:left="30" w:right="59" w:firstLine="650"/>
        <w:spacing w:before="146" w:line="30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20"/>
        </w:rPr>
        <w:t>1.</w:t>
      </w:r>
      <w:r>
        <w:rPr>
          <w:rFonts w:ascii="FangSong" w:hAnsi="FangSong" w:eastAsia="FangSong" w:cs="FangSong"/>
          <w:sz w:val="31"/>
          <w:szCs w:val="31"/>
          <w:spacing w:val="20"/>
        </w:rPr>
        <w:t>负责宣传党的路线、方针、政策及国家的法律法规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0"/>
        </w:rPr>
        <w:t>和有关政策，把握正确舆论导向。负责宣传全市经济、政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0"/>
        </w:rPr>
        <w:t>治、文化、社会和生态文明建设等方面的重大决策、重要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政策，服务地方经济社会发展。</w:t>
      </w:r>
    </w:p>
    <w:p>
      <w:pPr>
        <w:pStyle w:val="BodyText"/>
        <w:ind w:left="30" w:right="46" w:firstLine="650"/>
        <w:spacing w:before="52" w:line="305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20"/>
        </w:rPr>
        <w:t>2.</w:t>
      </w:r>
      <w:r>
        <w:rPr>
          <w:rFonts w:ascii="FangSong" w:hAnsi="FangSong" w:eastAsia="FangSong" w:cs="FangSong"/>
          <w:sz w:val="31"/>
          <w:szCs w:val="31"/>
          <w:spacing w:val="20"/>
        </w:rPr>
        <w:t>制定和组织实施市级媒体融合发展规划，负责整合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各类媒体资源、优化平台布局工作。</w:t>
      </w:r>
    </w:p>
    <w:p>
      <w:pPr>
        <w:pStyle w:val="BodyText"/>
        <w:ind w:left="30" w:right="64" w:firstLine="650"/>
        <w:spacing w:before="15" w:line="343" w:lineRule="auto"/>
        <w:rPr>
          <w:rFonts w:ascii="FangSong" w:hAnsi="FangSong" w:eastAsia="FangSong" w:cs="FangSong"/>
          <w:sz w:val="25"/>
          <w:szCs w:val="25"/>
        </w:rPr>
      </w:pPr>
      <w:r>
        <w:rPr>
          <w:sz w:val="31"/>
          <w:szCs w:val="31"/>
          <w:spacing w:val="20"/>
        </w:rPr>
        <w:t>3.</w:t>
      </w:r>
      <w:r>
        <w:rPr>
          <w:rFonts w:ascii="FangSong" w:hAnsi="FangSong" w:eastAsia="FangSong" w:cs="FangSong"/>
          <w:sz w:val="31"/>
          <w:szCs w:val="31"/>
          <w:spacing w:val="20"/>
        </w:rPr>
        <w:t>负责移动媒体矩阵建设，推动数字化、移动化</w:t>
      </w:r>
      <w:r>
        <w:rPr>
          <w:rFonts w:ascii="FangSong" w:hAnsi="FangSong" w:eastAsia="FangSong" w:cs="FangSong"/>
          <w:sz w:val="31"/>
          <w:szCs w:val="31"/>
          <w:spacing w:val="19"/>
        </w:rPr>
        <w:t>传播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5"/>
        </w:rPr>
        <w:t>工</w:t>
      </w:r>
      <w:r>
        <w:rPr>
          <w:rFonts w:ascii="FangSong" w:hAnsi="FangSong" w:eastAsia="FangSong" w:cs="FangSong"/>
          <w:sz w:val="25"/>
          <w:szCs w:val="25"/>
          <w:spacing w:val="-24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5"/>
        </w:rPr>
        <w:t>作</w:t>
      </w:r>
      <w:r>
        <w:rPr>
          <w:rFonts w:ascii="FangSong" w:hAnsi="FangSong" w:eastAsia="FangSong" w:cs="FangSong"/>
          <w:sz w:val="25"/>
          <w:szCs w:val="25"/>
          <w:spacing w:val="-44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5"/>
        </w:rPr>
        <w:t>。</w:t>
      </w:r>
    </w:p>
    <w:p>
      <w:pPr>
        <w:pStyle w:val="BodyText"/>
        <w:ind w:left="30" w:right="59" w:firstLine="650"/>
        <w:spacing w:before="3" w:line="342" w:lineRule="auto"/>
        <w:rPr>
          <w:rFonts w:ascii="FangSong" w:hAnsi="FangSong" w:eastAsia="FangSong" w:cs="FangSong"/>
          <w:sz w:val="25"/>
          <w:szCs w:val="25"/>
        </w:rPr>
      </w:pPr>
      <w:r>
        <w:rPr>
          <w:sz w:val="31"/>
          <w:szCs w:val="31"/>
          <w:spacing w:val="20"/>
        </w:rPr>
        <w:t>4.</w:t>
      </w:r>
      <w:r>
        <w:rPr>
          <w:rFonts w:ascii="FangSong" w:hAnsi="FangSong" w:eastAsia="FangSong" w:cs="FangSong"/>
          <w:sz w:val="31"/>
          <w:szCs w:val="31"/>
          <w:spacing w:val="20"/>
        </w:rPr>
        <w:t>负责媒体平台信息服务、民生服务及网络建设开发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5"/>
        </w:rPr>
        <w:t>工</w:t>
      </w:r>
      <w:r>
        <w:rPr>
          <w:rFonts w:ascii="FangSong" w:hAnsi="FangSong" w:eastAsia="FangSong" w:cs="FangSong"/>
          <w:sz w:val="25"/>
          <w:szCs w:val="25"/>
          <w:spacing w:val="-24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5"/>
        </w:rPr>
        <w:t>作</w:t>
      </w:r>
      <w:r>
        <w:rPr>
          <w:rFonts w:ascii="FangSong" w:hAnsi="FangSong" w:eastAsia="FangSong" w:cs="FangSong"/>
          <w:sz w:val="25"/>
          <w:szCs w:val="25"/>
          <w:spacing w:val="-44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-15"/>
        </w:rPr>
        <w:t>。</w:t>
      </w:r>
    </w:p>
    <w:p>
      <w:pPr>
        <w:pStyle w:val="BodyText"/>
        <w:ind w:left="30" w:right="36" w:firstLine="650"/>
        <w:spacing w:before="4" w:line="301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13"/>
        </w:rPr>
        <w:t>5.</w:t>
      </w:r>
      <w:r>
        <w:rPr>
          <w:rFonts w:ascii="FangSong" w:hAnsi="FangSong" w:eastAsia="FangSong" w:cs="FangSong"/>
          <w:sz w:val="31"/>
          <w:szCs w:val="31"/>
          <w:spacing w:val="13"/>
        </w:rPr>
        <w:t>负责报纸出版发行(相关出版物出版),广播电视节目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摄(录)制、播出、转播，新闻传媒研究、业务交流工作；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0"/>
        </w:rPr>
        <w:t>负责制定和实施中心发展规划，开展相关产业经营，承担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经营性国有资产的保值、增值。</w:t>
      </w:r>
    </w:p>
    <w:p>
      <w:pPr>
        <w:pStyle w:val="BodyText"/>
        <w:ind w:left="30" w:right="49" w:firstLine="650"/>
        <w:spacing w:before="56" w:line="304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20"/>
        </w:rPr>
        <w:t>6.</w:t>
      </w:r>
      <w:r>
        <w:rPr>
          <w:rFonts w:ascii="FangSong" w:hAnsi="FangSong" w:eastAsia="FangSong" w:cs="FangSong"/>
          <w:sz w:val="31"/>
          <w:szCs w:val="31"/>
          <w:spacing w:val="20"/>
        </w:rPr>
        <w:t>负责广播电视设施维护、广播电视节目安全播出和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新媒体安全发布工作。</w:t>
      </w:r>
    </w:p>
    <w:p>
      <w:pPr>
        <w:pStyle w:val="BodyText"/>
        <w:ind w:left="680"/>
        <w:spacing w:before="38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5"/>
        </w:rPr>
        <w:t>7.</w:t>
      </w:r>
      <w:r>
        <w:rPr>
          <w:rFonts w:ascii="FangSong" w:hAnsi="FangSong" w:eastAsia="FangSong" w:cs="FangSong"/>
          <w:sz w:val="31"/>
          <w:szCs w:val="31"/>
          <w:spacing w:val="5"/>
        </w:rPr>
        <w:t>完成市委、市政府和市委宣传部交办的其他任务。</w:t>
      </w:r>
    </w:p>
    <w:p>
      <w:pPr>
        <w:ind w:left="850"/>
        <w:spacing w:before="177" w:line="224" w:lineRule="auto"/>
        <w:outlineLvl w:val="1"/>
        <w:rPr>
          <w:rFonts w:ascii="KaiTi" w:hAnsi="KaiTi" w:eastAsia="KaiTi" w:cs="KaiTi"/>
          <w:sz w:val="31"/>
          <w:szCs w:val="31"/>
        </w:rPr>
      </w:pPr>
      <w:bookmarkStart w:name="bookmark3" w:id="37"/>
      <w:bookmarkEnd w:id="37"/>
      <w:r>
        <w:rPr>
          <w:rFonts w:ascii="KaiTi" w:hAnsi="KaiTi" w:eastAsia="KaiTi" w:cs="KaiTi"/>
          <w:sz w:val="31"/>
          <w:szCs w:val="31"/>
          <w:spacing w:val="19"/>
        </w:rPr>
        <w:t>(二)部门机构设置情况</w:t>
      </w:r>
    </w:p>
    <w:p>
      <w:pPr>
        <w:ind w:left="30" w:right="59" w:firstLine="650"/>
        <w:spacing w:before="134" w:line="30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1"/>
        </w:rPr>
        <w:t>从预算单位构成看，台州市新闻传媒中心部门预算包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括：台州市新闻传媒中心(本级)预算。</w:t>
      </w:r>
    </w:p>
    <w:p>
      <w:pPr>
        <w:ind w:left="684"/>
        <w:spacing w:before="20" w:line="221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9"/>
        </w:rPr>
        <w:t>二、2025年部门预算安排情况说明</w:t>
      </w:r>
      <w:r>
        <w:rPr>
          <w:rFonts w:ascii="Times New Roman" w:hAnsi="Times New Roman" w:eastAsia="Times New Roman" w:cs="Times New Roman"/>
          <w:sz w:val="31"/>
          <w:szCs w:val="31"/>
          <w:spacing w:val="9"/>
        </w:rPr>
        <w:t>1</w:t>
      </w:r>
    </w:p>
    <w:p>
      <w:pPr>
        <w:ind w:right="44"/>
        <w:spacing w:before="222" w:line="225" w:lineRule="auto"/>
        <w:outlineLvl w:val="1"/>
        <w:jc w:val="right"/>
        <w:rPr>
          <w:rFonts w:ascii="KaiTi" w:hAnsi="KaiTi" w:eastAsia="KaiTi" w:cs="KaiTi"/>
          <w:sz w:val="31"/>
          <w:szCs w:val="31"/>
        </w:rPr>
      </w:pPr>
      <w:bookmarkStart w:name="bookmark5" w:id="38"/>
      <w:bookmarkEnd w:id="38"/>
      <w:r>
        <w:rPr>
          <w:rFonts w:ascii="KaiTi" w:hAnsi="KaiTi" w:eastAsia="KaiTi" w:cs="KaiTi"/>
          <w:sz w:val="31"/>
          <w:szCs w:val="31"/>
          <w:spacing w:val="25"/>
        </w:rPr>
        <w:t>(一)关于台州市新闻传媒中心2025年收支预算情况</w:t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99909</wp:posOffset>
            </wp:positionV>
            <wp:extent cx="1854259" cy="6350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425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30" w:right="141"/>
        <w:spacing w:before="56" w:line="258" w:lineRule="auto"/>
        <w:rPr>
          <w:rFonts w:ascii="FangSong" w:hAnsi="FangSong" w:eastAsia="FangSong" w:cs="FangSong"/>
          <w:sz w:val="17"/>
          <w:szCs w:val="17"/>
        </w:rPr>
      </w:pPr>
      <w:r>
        <w:rPr>
          <w:sz w:val="17"/>
          <w:szCs w:val="17"/>
          <w:spacing w:val="12"/>
        </w:rPr>
        <w:t>1</w:t>
      </w:r>
      <w:r>
        <w:rPr>
          <w:sz w:val="17"/>
          <w:szCs w:val="17"/>
          <w:spacing w:val="-11"/>
        </w:rPr>
        <w:t xml:space="preserve"> </w:t>
      </w:r>
      <w:r>
        <w:rPr>
          <w:rFonts w:ascii="FangSong" w:hAnsi="FangSong" w:eastAsia="FangSong" w:cs="FangSong"/>
          <w:sz w:val="17"/>
          <w:szCs w:val="17"/>
          <w:spacing w:val="12"/>
        </w:rPr>
        <w:t>公开文本2025年数据来源于附件套表，若明细数加</w:t>
      </w:r>
      <w:r>
        <w:rPr>
          <w:rFonts w:ascii="FangSong" w:hAnsi="FangSong" w:eastAsia="FangSong" w:cs="FangSong"/>
          <w:sz w:val="17"/>
          <w:szCs w:val="17"/>
          <w:spacing w:val="11"/>
        </w:rPr>
        <w:t>计之和与合计数有尾差，系套表金额单位转换时四</w:t>
      </w:r>
      <w:r>
        <w:rPr>
          <w:rFonts w:ascii="FangSong" w:hAnsi="FangSong" w:eastAsia="FangSong" w:cs="FangSong"/>
          <w:sz w:val="17"/>
          <w:szCs w:val="17"/>
        </w:rPr>
        <w:t xml:space="preserve"> </w:t>
      </w:r>
      <w:r>
        <w:rPr>
          <w:rFonts w:ascii="FangSong" w:hAnsi="FangSong" w:eastAsia="FangSong" w:cs="FangSong"/>
          <w:sz w:val="17"/>
          <w:szCs w:val="17"/>
          <w:spacing w:val="7"/>
        </w:rPr>
        <w:t>舍五入造成，不另行调整。</w:t>
      </w:r>
    </w:p>
    <w:p>
      <w:pPr>
        <w:spacing w:line="258" w:lineRule="auto"/>
        <w:sectPr>
          <w:footerReference w:type="default" r:id="rId3"/>
          <w:pgSz w:w="11910" w:h="16840"/>
          <w:pgMar w:top="1431" w:right="1786" w:bottom="1117" w:left="1769" w:header="0" w:footer="991" w:gutter="0"/>
        </w:sectPr>
        <w:rPr>
          <w:rFonts w:ascii="FangSong" w:hAnsi="FangSong" w:eastAsia="FangSong" w:cs="FangSong"/>
          <w:sz w:val="17"/>
          <w:szCs w:val="17"/>
        </w:rPr>
      </w:pPr>
    </w:p>
    <w:p>
      <w:pPr>
        <w:ind w:left="23"/>
        <w:spacing w:before="207" w:line="232" w:lineRule="auto"/>
        <w:rPr>
          <w:rFonts w:ascii="KaiTi" w:hAnsi="KaiTi" w:eastAsia="KaiTi" w:cs="KaiTi"/>
          <w:sz w:val="30"/>
          <w:szCs w:val="30"/>
        </w:rPr>
      </w:pPr>
      <w:bookmarkStart w:name="bookmark28" w:id="39"/>
      <w:bookmarkEnd w:id="39"/>
      <w:r>
        <w:rPr>
          <w:rFonts w:ascii="KaiTi" w:hAnsi="KaiTi" w:eastAsia="KaiTi" w:cs="KaiTi"/>
          <w:sz w:val="30"/>
          <w:szCs w:val="30"/>
          <w:spacing w:val="16"/>
        </w:rPr>
        <w:t>的总体说明</w:t>
      </w:r>
    </w:p>
    <w:p>
      <w:pPr>
        <w:ind w:left="23" w:right="44" w:firstLine="650"/>
        <w:spacing w:before="203" w:line="36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1"/>
        </w:rPr>
        <w:t>按照综合预算的原则，台州市新闻传媒中心所有收入</w:t>
      </w:r>
      <w:r>
        <w:rPr>
          <w:rFonts w:ascii="FangSong" w:hAnsi="FangSong" w:eastAsia="FangSong" w:cs="FangSong"/>
          <w:sz w:val="30"/>
          <w:szCs w:val="30"/>
          <w:spacing w:val="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9"/>
        </w:rPr>
        <w:t>和支出均纳入部门预算管理。收入包括：</w:t>
      </w:r>
      <w:r>
        <w:rPr>
          <w:rFonts w:ascii="FangSong" w:hAnsi="FangSong" w:eastAsia="FangSong" w:cs="FangSong"/>
          <w:sz w:val="30"/>
          <w:szCs w:val="30"/>
          <w:spacing w:val="14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9"/>
        </w:rPr>
        <w:t>一般公共预算收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7"/>
        </w:rPr>
        <w:t>入、国有资本经营预算收入、上年结转结余；支出包括：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0"/>
        </w:rPr>
        <w:t>文化旅游体育与传媒支出、国有资本经营预算支出。台州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2"/>
        </w:rPr>
        <w:t>市新闻传媒中心2025年收支总预算1,300.23万元。</w:t>
      </w:r>
    </w:p>
    <w:p>
      <w:pPr>
        <w:ind w:left="23" w:right="44" w:firstLine="809"/>
        <w:spacing w:before="12" w:line="307" w:lineRule="auto"/>
        <w:outlineLvl w:val="1"/>
        <w:rPr>
          <w:rFonts w:ascii="KaiTi" w:hAnsi="KaiTi" w:eastAsia="KaiTi" w:cs="KaiTi"/>
          <w:sz w:val="30"/>
          <w:szCs w:val="30"/>
        </w:rPr>
      </w:pPr>
      <w:bookmarkStart w:name="bookmark6" w:id="40"/>
      <w:bookmarkEnd w:id="40"/>
      <w:r>
        <w:rPr>
          <w:rFonts w:ascii="KaiTi" w:hAnsi="KaiTi" w:eastAsia="KaiTi" w:cs="KaiTi"/>
          <w:sz w:val="30"/>
          <w:szCs w:val="30"/>
          <w:spacing w:val="34"/>
        </w:rPr>
        <w:t>(二)关于台州市新闻传媒中心2025年收入预算情况</w:t>
      </w:r>
      <w:r>
        <w:rPr>
          <w:rFonts w:ascii="KaiTi" w:hAnsi="KaiTi" w:eastAsia="KaiTi" w:cs="KaiTi"/>
          <w:sz w:val="30"/>
          <w:szCs w:val="30"/>
          <w:spacing w:val="7"/>
        </w:rPr>
        <w:t xml:space="preserve"> </w:t>
      </w:r>
      <w:bookmarkStart w:name="bookmark6" w:id="41"/>
      <w:bookmarkEnd w:id="41"/>
      <w:r>
        <w:rPr>
          <w:rFonts w:ascii="KaiTi" w:hAnsi="KaiTi" w:eastAsia="KaiTi" w:cs="KaiTi"/>
          <w:sz w:val="30"/>
          <w:szCs w:val="30"/>
          <w:spacing w:val="6"/>
        </w:rPr>
        <w:t>说明</w:t>
      </w:r>
    </w:p>
    <w:p>
      <w:pPr>
        <w:ind w:left="23" w:right="80" w:firstLine="650"/>
        <w:spacing w:before="186" w:line="371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2"/>
        </w:rPr>
        <w:t>台州市新闻传媒中心2025年收入预算1,300</w:t>
      </w:r>
      <w:r>
        <w:rPr>
          <w:rFonts w:ascii="FangSong" w:hAnsi="FangSong" w:eastAsia="FangSong" w:cs="FangSong"/>
          <w:sz w:val="30"/>
          <w:szCs w:val="30"/>
          <w:spacing w:val="-7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2"/>
        </w:rPr>
        <w:t>.</w:t>
      </w:r>
      <w:r>
        <w:rPr>
          <w:rFonts w:ascii="FangSong" w:hAnsi="FangSong" w:eastAsia="FangSong" w:cs="FangSong"/>
          <w:sz w:val="30"/>
          <w:szCs w:val="30"/>
          <w:spacing w:val="-8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2"/>
        </w:rPr>
        <w:t>23万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1"/>
        </w:rPr>
        <w:t>元，比上年执行数减少2,951.</w:t>
      </w:r>
      <w:r>
        <w:rPr>
          <w:rFonts w:ascii="FangSong" w:hAnsi="FangSong" w:eastAsia="FangSong" w:cs="FangSong"/>
          <w:sz w:val="30"/>
          <w:szCs w:val="30"/>
          <w:spacing w:val="-7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1"/>
        </w:rPr>
        <w:t>11万元，减少69.4%,主要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是上年执行数中包括2024年年中收到的媒体融合改革专项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4"/>
        </w:rPr>
        <w:t>3000万元。</w:t>
      </w:r>
    </w:p>
    <w:p>
      <w:pPr>
        <w:ind w:left="23" w:right="43" w:firstLine="650"/>
        <w:spacing w:before="31" w:line="360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26"/>
        </w:rPr>
        <w:t>其</w:t>
      </w:r>
      <w:r>
        <w:rPr>
          <w:rFonts w:ascii="FangSong" w:hAnsi="FangSong" w:eastAsia="FangSong" w:cs="FangSong"/>
          <w:sz w:val="30"/>
          <w:szCs w:val="30"/>
          <w:spacing w:val="-2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中</w:t>
      </w:r>
      <w:r>
        <w:rPr>
          <w:rFonts w:ascii="FangSong" w:hAnsi="FangSong" w:eastAsia="FangSong" w:cs="FangSong"/>
          <w:sz w:val="30"/>
          <w:szCs w:val="30"/>
          <w:spacing w:val="-2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：</w:t>
      </w:r>
      <w:r>
        <w:rPr>
          <w:rFonts w:ascii="FangSong" w:hAnsi="FangSong" w:eastAsia="FangSong" w:cs="FangSong"/>
          <w:sz w:val="30"/>
          <w:szCs w:val="30"/>
          <w:spacing w:val="-5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一</w:t>
      </w:r>
      <w:r>
        <w:rPr>
          <w:rFonts w:ascii="FangSong" w:hAnsi="FangSong" w:eastAsia="FangSong" w:cs="FangSong"/>
          <w:sz w:val="30"/>
          <w:szCs w:val="30"/>
          <w:spacing w:val="-5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般</w:t>
      </w:r>
      <w:r>
        <w:rPr>
          <w:rFonts w:ascii="FangSong" w:hAnsi="FangSong" w:eastAsia="FangSong" w:cs="FangSong"/>
          <w:sz w:val="30"/>
          <w:szCs w:val="30"/>
          <w:spacing w:val="-5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公</w:t>
      </w:r>
      <w:r>
        <w:rPr>
          <w:rFonts w:ascii="FangSong" w:hAnsi="FangSong" w:eastAsia="FangSong" w:cs="FangSong"/>
          <w:sz w:val="30"/>
          <w:szCs w:val="30"/>
          <w:spacing w:val="-5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共</w:t>
      </w:r>
      <w:r>
        <w:rPr>
          <w:rFonts w:ascii="FangSong" w:hAnsi="FangSong" w:eastAsia="FangSong" w:cs="FangSong"/>
          <w:sz w:val="30"/>
          <w:szCs w:val="30"/>
          <w:spacing w:val="-5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预</w:t>
      </w:r>
      <w:r>
        <w:rPr>
          <w:rFonts w:ascii="FangSong" w:hAnsi="FangSong" w:eastAsia="FangSong" w:cs="FangSong"/>
          <w:sz w:val="30"/>
          <w:szCs w:val="30"/>
          <w:spacing w:val="-5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算</w:t>
      </w:r>
      <w:r>
        <w:rPr>
          <w:rFonts w:ascii="FangSong" w:hAnsi="FangSong" w:eastAsia="FangSong" w:cs="FangSong"/>
          <w:sz w:val="30"/>
          <w:szCs w:val="30"/>
          <w:spacing w:val="-5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拨</w:t>
      </w:r>
      <w:r>
        <w:rPr>
          <w:rFonts w:ascii="FangSong" w:hAnsi="FangSong" w:eastAsia="FangSong" w:cs="FangSong"/>
          <w:sz w:val="30"/>
          <w:szCs w:val="30"/>
          <w:spacing w:val="-6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款</w:t>
      </w:r>
      <w:r>
        <w:rPr>
          <w:rFonts w:ascii="FangSong" w:hAnsi="FangSong" w:eastAsia="FangSong" w:cs="FangSong"/>
          <w:sz w:val="30"/>
          <w:szCs w:val="30"/>
          <w:spacing w:val="-4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收</w:t>
      </w:r>
      <w:r>
        <w:rPr>
          <w:rFonts w:ascii="FangSong" w:hAnsi="FangSong" w:eastAsia="FangSong" w:cs="FangSong"/>
          <w:sz w:val="30"/>
          <w:szCs w:val="30"/>
          <w:spacing w:val="-5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入</w:t>
      </w:r>
      <w:r>
        <w:rPr>
          <w:rFonts w:ascii="FangSong" w:hAnsi="FangSong" w:eastAsia="FangSong" w:cs="FangSong"/>
          <w:sz w:val="30"/>
          <w:szCs w:val="30"/>
          <w:spacing w:val="-6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9</w:t>
      </w:r>
      <w:r>
        <w:rPr>
          <w:rFonts w:ascii="FangSong" w:hAnsi="FangSong" w:eastAsia="FangSong" w:cs="FangSong"/>
          <w:sz w:val="30"/>
          <w:szCs w:val="30"/>
          <w:spacing w:val="-6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3</w:t>
      </w:r>
      <w:r>
        <w:rPr>
          <w:rFonts w:ascii="FangSong" w:hAnsi="FangSong" w:eastAsia="FangSong" w:cs="FangSong"/>
          <w:sz w:val="30"/>
          <w:szCs w:val="30"/>
          <w:spacing w:val="-6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0</w:t>
      </w:r>
      <w:r>
        <w:rPr>
          <w:rFonts w:ascii="FangSong" w:hAnsi="FangSong" w:eastAsia="FangSong" w:cs="FangSong"/>
          <w:sz w:val="30"/>
          <w:szCs w:val="30"/>
          <w:spacing w:val="-5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.</w:t>
      </w:r>
      <w:r>
        <w:rPr>
          <w:rFonts w:ascii="FangSong" w:hAnsi="FangSong" w:eastAsia="FangSong" w:cs="FangSong"/>
          <w:sz w:val="30"/>
          <w:szCs w:val="30"/>
          <w:spacing w:val="-6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0</w:t>
      </w:r>
      <w:r>
        <w:rPr>
          <w:rFonts w:ascii="FangSong" w:hAnsi="FangSong" w:eastAsia="FangSong" w:cs="FangSong"/>
          <w:sz w:val="30"/>
          <w:szCs w:val="30"/>
          <w:spacing w:val="-6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0</w:t>
      </w:r>
      <w:r>
        <w:rPr>
          <w:rFonts w:ascii="FangSong" w:hAnsi="FangSong" w:eastAsia="FangSong" w:cs="FangSong"/>
          <w:sz w:val="30"/>
          <w:szCs w:val="30"/>
          <w:spacing w:val="-5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万</w:t>
      </w:r>
      <w:r>
        <w:rPr>
          <w:rFonts w:ascii="FangSong" w:hAnsi="FangSong" w:eastAsia="FangSong" w:cs="FangSong"/>
          <w:sz w:val="30"/>
          <w:szCs w:val="30"/>
          <w:spacing w:val="-5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元</w:t>
      </w:r>
      <w:r>
        <w:rPr>
          <w:rFonts w:ascii="FangSong" w:hAnsi="FangSong" w:eastAsia="FangSong" w:cs="FangSong"/>
          <w:sz w:val="30"/>
          <w:szCs w:val="30"/>
          <w:spacing w:val="-3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，</w:t>
      </w:r>
      <w:r>
        <w:rPr>
          <w:rFonts w:ascii="FangSong" w:hAnsi="FangSong" w:eastAsia="FangSong" w:cs="FangSong"/>
          <w:sz w:val="30"/>
          <w:szCs w:val="30"/>
          <w:spacing w:val="-2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占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3"/>
        </w:rPr>
        <w:t>71.5%;国有资本经营预算收入65.00万元，占5.0%;上年</w:t>
      </w:r>
      <w:r>
        <w:rPr>
          <w:rFonts w:ascii="FangSong" w:hAnsi="FangSong" w:eastAsia="FangSong" w:cs="FangSong"/>
          <w:sz w:val="30"/>
          <w:szCs w:val="30"/>
          <w:spacing w:val="1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3"/>
        </w:rPr>
        <w:t>结转结余305.23万元，占23.5%。</w:t>
      </w:r>
    </w:p>
    <w:p>
      <w:pPr>
        <w:ind w:left="23" w:right="44" w:firstLine="814"/>
        <w:spacing w:before="37" w:line="358" w:lineRule="auto"/>
        <w:rPr>
          <w:rFonts w:ascii="KaiTi" w:hAnsi="KaiTi" w:eastAsia="KaiTi" w:cs="KaiTi"/>
          <w:sz w:val="30"/>
          <w:szCs w:val="30"/>
        </w:rPr>
      </w:pPr>
      <w:r>
        <w:rPr>
          <w:rFonts w:ascii="KaiTi" w:hAnsi="KaiTi" w:eastAsia="KaiTi" w:cs="KaiTi"/>
          <w:sz w:val="30"/>
          <w:szCs w:val="30"/>
          <w:b/>
          <w:bCs/>
          <w:spacing w:val="14"/>
        </w:rPr>
        <w:t>(</w:t>
      </w:r>
      <w:r>
        <w:rPr>
          <w:rFonts w:ascii="KaiTi" w:hAnsi="KaiTi" w:eastAsia="KaiTi" w:cs="KaiTi"/>
          <w:sz w:val="30"/>
          <w:szCs w:val="30"/>
          <w:spacing w:val="-56"/>
        </w:rPr>
        <w:t xml:space="preserve"> </w:t>
      </w:r>
      <w:r>
        <w:rPr>
          <w:rFonts w:ascii="KaiTi" w:hAnsi="KaiTi" w:eastAsia="KaiTi" w:cs="KaiTi"/>
          <w:sz w:val="30"/>
          <w:szCs w:val="30"/>
          <w:b/>
          <w:bCs/>
          <w:spacing w:val="14"/>
        </w:rPr>
        <w:t>三</w:t>
      </w:r>
      <w:r>
        <w:rPr>
          <w:rFonts w:ascii="KaiTi" w:hAnsi="KaiTi" w:eastAsia="KaiTi" w:cs="KaiTi"/>
          <w:sz w:val="30"/>
          <w:szCs w:val="30"/>
          <w:spacing w:val="-72"/>
        </w:rPr>
        <w:t xml:space="preserve"> </w:t>
      </w:r>
      <w:r>
        <w:rPr>
          <w:rFonts w:ascii="KaiTi" w:hAnsi="KaiTi" w:eastAsia="KaiTi" w:cs="KaiTi"/>
          <w:sz w:val="30"/>
          <w:szCs w:val="30"/>
          <w:b/>
          <w:bCs/>
          <w:spacing w:val="14"/>
        </w:rPr>
        <w:t>)</w:t>
      </w:r>
      <w:r>
        <w:rPr>
          <w:rFonts w:ascii="KaiTi" w:hAnsi="KaiTi" w:eastAsia="KaiTi" w:cs="KaiTi"/>
          <w:sz w:val="30"/>
          <w:szCs w:val="30"/>
          <w:spacing w:val="-52"/>
        </w:rPr>
        <w:t xml:space="preserve"> </w:t>
      </w:r>
      <w:r>
        <w:rPr>
          <w:rFonts w:ascii="KaiTi" w:hAnsi="KaiTi" w:eastAsia="KaiTi" w:cs="KaiTi"/>
          <w:sz w:val="30"/>
          <w:szCs w:val="30"/>
          <w:b/>
          <w:bCs/>
          <w:spacing w:val="14"/>
        </w:rPr>
        <w:t>关</w:t>
      </w:r>
      <w:r>
        <w:rPr>
          <w:rFonts w:ascii="KaiTi" w:hAnsi="KaiTi" w:eastAsia="KaiTi" w:cs="KaiTi"/>
          <w:sz w:val="30"/>
          <w:szCs w:val="30"/>
          <w:spacing w:val="-53"/>
        </w:rPr>
        <w:t xml:space="preserve"> </w:t>
      </w:r>
      <w:r>
        <w:rPr>
          <w:rFonts w:ascii="KaiTi" w:hAnsi="KaiTi" w:eastAsia="KaiTi" w:cs="KaiTi"/>
          <w:sz w:val="30"/>
          <w:szCs w:val="30"/>
          <w:b/>
          <w:bCs/>
          <w:spacing w:val="14"/>
        </w:rPr>
        <w:t>于</w:t>
      </w:r>
      <w:r>
        <w:rPr>
          <w:rFonts w:ascii="KaiTi" w:hAnsi="KaiTi" w:eastAsia="KaiTi" w:cs="KaiTi"/>
          <w:sz w:val="30"/>
          <w:szCs w:val="30"/>
          <w:spacing w:val="-33"/>
        </w:rPr>
        <w:t xml:space="preserve"> </w:t>
      </w:r>
      <w:r>
        <w:rPr>
          <w:rFonts w:ascii="KaiTi" w:hAnsi="KaiTi" w:eastAsia="KaiTi" w:cs="KaiTi"/>
          <w:sz w:val="30"/>
          <w:szCs w:val="30"/>
          <w:b/>
          <w:bCs/>
          <w:spacing w:val="14"/>
        </w:rPr>
        <w:t>台</w:t>
      </w:r>
      <w:r>
        <w:rPr>
          <w:rFonts w:ascii="KaiTi" w:hAnsi="KaiTi" w:eastAsia="KaiTi" w:cs="KaiTi"/>
          <w:sz w:val="30"/>
          <w:szCs w:val="30"/>
          <w:spacing w:val="14"/>
        </w:rPr>
        <w:t>州市新闻传媒中心2025年支出预算情况</w:t>
      </w:r>
      <w:r>
        <w:rPr>
          <w:rFonts w:ascii="KaiTi" w:hAnsi="KaiTi" w:eastAsia="KaiTi" w:cs="KaiTi"/>
          <w:sz w:val="30"/>
          <w:szCs w:val="30"/>
        </w:rPr>
        <w:t xml:space="preserve"> </w:t>
      </w:r>
      <w:r>
        <w:rPr>
          <w:rFonts w:ascii="KaiTi" w:hAnsi="KaiTi" w:eastAsia="KaiTi" w:cs="KaiTi"/>
          <w:sz w:val="30"/>
          <w:szCs w:val="30"/>
          <w:spacing w:val="6"/>
        </w:rPr>
        <w:t>说明</w:t>
      </w:r>
    </w:p>
    <w:p>
      <w:pPr>
        <w:ind w:left="23" w:right="40" w:firstLine="650"/>
        <w:spacing w:before="57" w:line="364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42"/>
        </w:rPr>
        <w:t>台州市新闻传媒中心2025年支出预算1,300</w:t>
      </w:r>
      <w:r>
        <w:rPr>
          <w:rFonts w:ascii="FangSong" w:hAnsi="FangSong" w:eastAsia="FangSong" w:cs="FangSong"/>
          <w:sz w:val="30"/>
          <w:szCs w:val="30"/>
          <w:spacing w:val="-7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2"/>
        </w:rPr>
        <w:t>.</w:t>
      </w:r>
      <w:r>
        <w:rPr>
          <w:rFonts w:ascii="FangSong" w:hAnsi="FangSong" w:eastAsia="FangSong" w:cs="FangSong"/>
          <w:sz w:val="30"/>
          <w:szCs w:val="30"/>
          <w:spacing w:val="-8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2"/>
        </w:rPr>
        <w:t>23万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2"/>
        </w:rPr>
        <w:t>元，比上年执行数减少2,951.</w:t>
      </w:r>
      <w:r>
        <w:rPr>
          <w:rFonts w:ascii="FangSong" w:hAnsi="FangSong" w:eastAsia="FangSong" w:cs="FangSong"/>
          <w:sz w:val="30"/>
          <w:szCs w:val="30"/>
          <w:spacing w:val="-7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2"/>
        </w:rPr>
        <w:t>11万元，减少69.4%,主要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是上年执行数中包括2024年年中收到的媒体融合改革专项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0"/>
        </w:rPr>
        <w:t>3000万元。</w:t>
      </w:r>
    </w:p>
    <w:p>
      <w:pPr>
        <w:pStyle w:val="BodyText"/>
        <w:ind w:left="23" w:right="130" w:firstLine="654"/>
        <w:spacing w:before="30" w:line="356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b/>
          <w:bCs/>
          <w:spacing w:val="39"/>
        </w:rPr>
        <w:t>1.</w:t>
      </w:r>
      <w:r>
        <w:rPr>
          <w:rFonts w:ascii="SimHei" w:hAnsi="SimHei" w:eastAsia="SimHei" w:cs="SimHei"/>
          <w:sz w:val="30"/>
          <w:szCs w:val="30"/>
          <w:b/>
          <w:bCs/>
          <w:spacing w:val="39"/>
        </w:rPr>
        <w:t>按支出功能分类</w:t>
      </w:r>
      <w:r>
        <w:rPr>
          <w:rFonts w:ascii="FangSong" w:hAnsi="FangSong" w:eastAsia="FangSong" w:cs="FangSong"/>
          <w:sz w:val="30"/>
          <w:szCs w:val="30"/>
          <w:b/>
          <w:bCs/>
          <w:spacing w:val="39"/>
        </w:rPr>
        <w:t>，</w:t>
      </w:r>
      <w:r>
        <w:rPr>
          <w:rFonts w:ascii="FangSong" w:hAnsi="FangSong" w:eastAsia="FangSong" w:cs="FangSong"/>
          <w:sz w:val="30"/>
          <w:szCs w:val="30"/>
          <w:spacing w:val="39"/>
        </w:rPr>
        <w:t>包括文化旅游体育与传媒支出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0"/>
        </w:rPr>
        <w:t>1,235.23万元、国有资本经营预算支出65.00万</w:t>
      </w:r>
      <w:r>
        <w:rPr>
          <w:rFonts w:ascii="FangSong" w:hAnsi="FangSong" w:eastAsia="FangSong" w:cs="FangSong"/>
          <w:sz w:val="30"/>
          <w:szCs w:val="30"/>
          <w:spacing w:val="19"/>
        </w:rPr>
        <w:t>元。</w:t>
      </w:r>
    </w:p>
    <w:p>
      <w:pPr>
        <w:spacing w:line="356" w:lineRule="auto"/>
        <w:sectPr>
          <w:footerReference w:type="default" r:id="rId5"/>
          <w:pgSz w:w="11910" w:h="16840"/>
          <w:pgMar w:top="1431" w:right="1786" w:bottom="1116" w:left="1786" w:header="0" w:footer="989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pStyle w:val="BodyText"/>
        <w:ind w:left="23" w:right="115" w:firstLine="634"/>
        <w:spacing w:before="215" w:line="350" w:lineRule="auto"/>
        <w:rPr>
          <w:sz w:val="30"/>
          <w:szCs w:val="30"/>
        </w:rPr>
      </w:pPr>
      <w:bookmarkStart w:name="bookmark29" w:id="42"/>
      <w:bookmarkEnd w:id="42"/>
      <w:r>
        <w:rPr>
          <w:sz w:val="30"/>
          <w:szCs w:val="30"/>
          <w:b/>
          <w:bCs/>
          <w:spacing w:val="22"/>
        </w:rPr>
        <w:t>2.</w:t>
      </w:r>
      <w:r>
        <w:rPr>
          <w:rFonts w:ascii="SimHei" w:hAnsi="SimHei" w:eastAsia="SimHei" w:cs="SimHei"/>
          <w:sz w:val="30"/>
          <w:szCs w:val="30"/>
          <w:b/>
          <w:bCs/>
          <w:spacing w:val="22"/>
        </w:rPr>
        <w:t>按支出用途分类</w:t>
      </w:r>
      <w:r>
        <w:rPr>
          <w:rFonts w:ascii="KaiTi" w:hAnsi="KaiTi" w:eastAsia="KaiTi" w:cs="KaiTi"/>
          <w:sz w:val="30"/>
          <w:szCs w:val="30"/>
          <w:b/>
          <w:bCs/>
          <w:spacing w:val="22"/>
        </w:rPr>
        <w:t>，</w:t>
      </w:r>
      <w:r>
        <w:rPr>
          <w:rFonts w:ascii="FangSong" w:hAnsi="FangSong" w:eastAsia="FangSong" w:cs="FangSong"/>
          <w:sz w:val="30"/>
          <w:szCs w:val="30"/>
          <w:spacing w:val="22"/>
        </w:rPr>
        <w:t>包括项目支出1,300.23万元，占</w:t>
      </w:r>
      <w:r>
        <w:rPr>
          <w:rFonts w:ascii="FangSong" w:hAnsi="FangSong" w:eastAsia="FangSong" w:cs="FangSong"/>
          <w:sz w:val="30"/>
          <w:szCs w:val="30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  <w:spacing w:val="-6"/>
        </w:rPr>
        <w:t>100.0%</w:t>
      </w:r>
      <w:r>
        <w:rPr>
          <w:sz w:val="30"/>
          <w:szCs w:val="30"/>
          <w:spacing w:val="-6"/>
        </w:rPr>
        <w:t>。</w:t>
      </w:r>
    </w:p>
    <w:p>
      <w:pPr>
        <w:ind w:left="653"/>
        <w:spacing w:before="68" w:line="21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0"/>
        </w:rPr>
        <w:t>年终结转结余0.00万元。</w:t>
      </w:r>
    </w:p>
    <w:p>
      <w:pPr>
        <w:ind w:left="23" w:right="85" w:firstLine="794"/>
        <w:spacing w:before="248" w:line="296" w:lineRule="auto"/>
        <w:outlineLvl w:val="1"/>
        <w:rPr>
          <w:rFonts w:ascii="KaiTi" w:hAnsi="KaiTi" w:eastAsia="KaiTi" w:cs="KaiTi"/>
          <w:sz w:val="30"/>
          <w:szCs w:val="30"/>
        </w:rPr>
      </w:pPr>
      <w:bookmarkStart w:name="bookmark8" w:id="43"/>
      <w:bookmarkEnd w:id="43"/>
      <w:r>
        <w:rPr>
          <w:rFonts w:ascii="KaiTi" w:hAnsi="KaiTi" w:eastAsia="KaiTi" w:cs="KaiTi"/>
          <w:sz w:val="30"/>
          <w:szCs w:val="30"/>
          <w:b/>
          <w:bCs/>
          <w:spacing w:val="32"/>
        </w:rPr>
        <w:t>(四)关于台</w:t>
      </w:r>
      <w:r>
        <w:rPr>
          <w:rFonts w:ascii="KaiTi" w:hAnsi="KaiTi" w:eastAsia="KaiTi" w:cs="KaiTi"/>
          <w:sz w:val="30"/>
          <w:szCs w:val="30"/>
          <w:spacing w:val="32"/>
        </w:rPr>
        <w:t>州市新闻传媒中心2025年财政拨款收支</w:t>
      </w:r>
      <w:r>
        <w:rPr>
          <w:rFonts w:ascii="KaiTi" w:hAnsi="KaiTi" w:eastAsia="KaiTi" w:cs="KaiTi"/>
          <w:sz w:val="30"/>
          <w:szCs w:val="30"/>
          <w:spacing w:val="14"/>
        </w:rPr>
        <w:t xml:space="preserve"> </w:t>
      </w:r>
      <w:bookmarkStart w:name="bookmark8" w:id="44"/>
      <w:bookmarkEnd w:id="44"/>
      <w:r>
        <w:rPr>
          <w:rFonts w:ascii="KaiTi" w:hAnsi="KaiTi" w:eastAsia="KaiTi" w:cs="KaiTi"/>
          <w:sz w:val="30"/>
          <w:szCs w:val="30"/>
          <w:spacing w:val="17"/>
        </w:rPr>
        <w:t>预算情况的总体说明</w:t>
      </w:r>
    </w:p>
    <w:p>
      <w:pPr>
        <w:ind w:left="23" w:right="55" w:firstLine="630"/>
        <w:spacing w:before="237" w:line="36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52"/>
        </w:rPr>
        <w:t>台州市新闻传媒中心2025年财政拨款收支总预算</w:t>
      </w:r>
      <w:r>
        <w:rPr>
          <w:rFonts w:ascii="FangSong" w:hAnsi="FangSong" w:eastAsia="FangSong" w:cs="FangSong"/>
          <w:sz w:val="30"/>
          <w:szCs w:val="30"/>
          <w:spacing w:val="1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1,300.23万元。收入包括：</w:t>
      </w:r>
      <w:r>
        <w:rPr>
          <w:rFonts w:ascii="FangSong" w:hAnsi="FangSong" w:eastAsia="FangSong" w:cs="FangSong"/>
          <w:sz w:val="30"/>
          <w:szCs w:val="30"/>
          <w:spacing w:val="12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一般公共预算930.00万元、国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8"/>
        </w:rPr>
        <w:t>有资本经营预算65.00万元、上年结转</w:t>
      </w:r>
      <w:r>
        <w:rPr>
          <w:rFonts w:ascii="FangSong" w:hAnsi="FangSong" w:eastAsia="FangSong" w:cs="FangSong"/>
          <w:sz w:val="30"/>
          <w:szCs w:val="30"/>
          <w:spacing w:val="27"/>
        </w:rPr>
        <w:t>结余305.23万元；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6"/>
        </w:rPr>
        <w:t>支出包括：文化旅游体育与传媒支出1,235.23</w:t>
      </w:r>
      <w:r>
        <w:rPr>
          <w:rFonts w:ascii="FangSong" w:hAnsi="FangSong" w:eastAsia="FangSong" w:cs="FangSong"/>
          <w:sz w:val="30"/>
          <w:szCs w:val="30"/>
          <w:spacing w:val="25"/>
        </w:rPr>
        <w:t>万元、国有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0"/>
        </w:rPr>
        <w:t>资本经营预算支出65.00万元。</w:t>
      </w:r>
    </w:p>
    <w:p>
      <w:pPr>
        <w:ind w:left="83" w:right="73" w:firstLine="729"/>
        <w:spacing w:before="36" w:line="297" w:lineRule="auto"/>
        <w:outlineLvl w:val="1"/>
        <w:rPr>
          <w:rFonts w:ascii="KaiTi" w:hAnsi="KaiTi" w:eastAsia="KaiTi" w:cs="KaiTi"/>
          <w:sz w:val="30"/>
          <w:szCs w:val="30"/>
        </w:rPr>
      </w:pPr>
      <w:bookmarkStart w:name="bookmark9" w:id="45"/>
      <w:bookmarkEnd w:id="45"/>
      <w:r>
        <w:rPr>
          <w:rFonts w:ascii="KaiTi" w:hAnsi="KaiTi" w:eastAsia="KaiTi" w:cs="KaiTi"/>
          <w:sz w:val="30"/>
          <w:szCs w:val="30"/>
          <w:spacing w:val="34"/>
        </w:rPr>
        <w:t>(五)关于台州市新闻传媒中心2025年一般公共</w:t>
      </w:r>
      <w:r>
        <w:rPr>
          <w:rFonts w:ascii="KaiTi" w:hAnsi="KaiTi" w:eastAsia="KaiTi" w:cs="KaiTi"/>
          <w:sz w:val="30"/>
          <w:szCs w:val="30"/>
          <w:spacing w:val="33"/>
        </w:rPr>
        <w:t>预算</w:t>
      </w:r>
      <w:r>
        <w:rPr>
          <w:rFonts w:ascii="KaiTi" w:hAnsi="KaiTi" w:eastAsia="KaiTi" w:cs="KaiTi"/>
          <w:sz w:val="30"/>
          <w:szCs w:val="30"/>
        </w:rPr>
        <w:t xml:space="preserve"> </w:t>
      </w:r>
      <w:bookmarkStart w:name="bookmark9" w:id="46"/>
      <w:bookmarkEnd w:id="46"/>
      <w:r>
        <w:rPr>
          <w:rFonts w:ascii="KaiTi" w:hAnsi="KaiTi" w:eastAsia="KaiTi" w:cs="KaiTi"/>
          <w:sz w:val="30"/>
          <w:szCs w:val="30"/>
          <w:spacing w:val="10"/>
        </w:rPr>
        <w:t>当年拨款情况说明</w:t>
      </w:r>
    </w:p>
    <w:p>
      <w:pPr>
        <w:pStyle w:val="BodyText"/>
        <w:ind w:left="653"/>
        <w:spacing w:before="235" w:line="225" w:lineRule="auto"/>
        <w:rPr>
          <w:rFonts w:ascii="KaiTi" w:hAnsi="KaiTi" w:eastAsia="KaiTi" w:cs="KaiTi"/>
          <w:sz w:val="30"/>
          <w:szCs w:val="30"/>
        </w:rPr>
      </w:pPr>
      <w:r>
        <w:rPr>
          <w:sz w:val="30"/>
          <w:szCs w:val="30"/>
          <w:spacing w:val="14"/>
        </w:rPr>
        <w:t>1.</w:t>
      </w:r>
      <w:r>
        <w:rPr>
          <w:rFonts w:ascii="KaiTi" w:hAnsi="KaiTi" w:eastAsia="KaiTi" w:cs="KaiTi"/>
          <w:sz w:val="30"/>
          <w:szCs w:val="30"/>
          <w:spacing w:val="14"/>
        </w:rPr>
        <w:t>一般公共预算当年拨款规模变化情况。</w:t>
      </w:r>
    </w:p>
    <w:p>
      <w:pPr>
        <w:ind w:left="23" w:right="43" w:firstLine="630"/>
        <w:spacing w:before="245" w:line="36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2"/>
        </w:rPr>
        <w:t>台州市新闻传媒中心2025年</w:t>
      </w:r>
      <w:r>
        <w:rPr>
          <w:rFonts w:ascii="FangSong" w:hAnsi="FangSong" w:eastAsia="FangSong" w:cs="FangSong"/>
          <w:sz w:val="30"/>
          <w:szCs w:val="30"/>
          <w:spacing w:val="-7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2"/>
        </w:rPr>
        <w:t>一</w:t>
      </w:r>
      <w:r>
        <w:rPr>
          <w:rFonts w:ascii="FangSong" w:hAnsi="FangSong" w:eastAsia="FangSong" w:cs="FangSong"/>
          <w:sz w:val="30"/>
          <w:szCs w:val="30"/>
          <w:spacing w:val="-8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2"/>
        </w:rPr>
        <w:t>般公共预算当年拨款</w:t>
      </w:r>
      <w:r>
        <w:rPr>
          <w:rFonts w:ascii="FangSong" w:hAnsi="FangSong" w:eastAsia="FangSong" w:cs="FangSong"/>
          <w:sz w:val="30"/>
          <w:szCs w:val="30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28"/>
        </w:rPr>
        <w:t>1,235.23万元，比上年执行数减少3,016.</w:t>
      </w:r>
      <w:r>
        <w:rPr>
          <w:rFonts w:ascii="FangSong" w:hAnsi="FangSong" w:eastAsia="FangSong" w:cs="FangSong"/>
          <w:sz w:val="30"/>
          <w:szCs w:val="30"/>
          <w:spacing w:val="-6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8"/>
        </w:rPr>
        <w:t>11万元，减少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7"/>
        </w:rPr>
        <w:t>70.9%,主要是上年执行数中包括2024年年中</w:t>
      </w:r>
      <w:r>
        <w:rPr>
          <w:rFonts w:ascii="FangSong" w:hAnsi="FangSong" w:eastAsia="FangSong" w:cs="FangSong"/>
          <w:sz w:val="30"/>
          <w:szCs w:val="30"/>
          <w:spacing w:val="36"/>
        </w:rPr>
        <w:t>收到的媒体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0"/>
        </w:rPr>
        <w:t>融合改革专项3000万元。</w:t>
      </w:r>
    </w:p>
    <w:p>
      <w:pPr>
        <w:pStyle w:val="BodyText"/>
        <w:ind w:left="653"/>
        <w:spacing w:before="36" w:line="225" w:lineRule="auto"/>
        <w:rPr>
          <w:rFonts w:ascii="KaiTi" w:hAnsi="KaiTi" w:eastAsia="KaiTi" w:cs="KaiTi"/>
          <w:sz w:val="30"/>
          <w:szCs w:val="30"/>
        </w:rPr>
      </w:pPr>
      <w:r>
        <w:rPr>
          <w:sz w:val="30"/>
          <w:szCs w:val="30"/>
          <w:spacing w:val="14"/>
        </w:rPr>
        <w:t>2.</w:t>
      </w:r>
      <w:r>
        <w:rPr>
          <w:rFonts w:ascii="KaiTi" w:hAnsi="KaiTi" w:eastAsia="KaiTi" w:cs="KaiTi"/>
          <w:sz w:val="30"/>
          <w:szCs w:val="30"/>
          <w:spacing w:val="14"/>
        </w:rPr>
        <w:t>一般公共预算当年拨款结构情况。</w:t>
      </w:r>
    </w:p>
    <w:p>
      <w:pPr>
        <w:pStyle w:val="BodyText"/>
        <w:ind w:left="653" w:right="213"/>
        <w:spacing w:before="244" w:line="351" w:lineRule="auto"/>
        <w:rPr>
          <w:rFonts w:ascii="KaiTi" w:hAnsi="KaiTi" w:eastAsia="KaiTi" w:cs="KaiTi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9"/>
        </w:rPr>
        <w:t>文化旅游体育与传媒支出1,235.23万元，占100.0%。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sz w:val="30"/>
          <w:szCs w:val="30"/>
          <w:spacing w:val="16"/>
        </w:rPr>
        <w:t>3.</w:t>
      </w:r>
      <w:r>
        <w:rPr>
          <w:rFonts w:ascii="KaiTi" w:hAnsi="KaiTi" w:eastAsia="KaiTi" w:cs="KaiTi"/>
          <w:sz w:val="30"/>
          <w:szCs w:val="30"/>
          <w:spacing w:val="16"/>
        </w:rPr>
        <w:t>一般公共预算当年拨款具体使用情况。</w:t>
      </w:r>
    </w:p>
    <w:p>
      <w:pPr>
        <w:ind w:left="23" w:right="62" w:firstLine="789"/>
        <w:spacing w:before="39" w:line="365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52"/>
        </w:rPr>
        <w:t>(1)文化旅游体育与传媒支出(类)广播电视(款)</w:t>
      </w:r>
      <w:r>
        <w:rPr>
          <w:rFonts w:ascii="FangSong" w:hAnsi="FangSong" w:eastAsia="FangSong" w:cs="FangSong"/>
          <w:sz w:val="30"/>
          <w:szCs w:val="30"/>
          <w:spacing w:val="1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6"/>
        </w:rPr>
        <w:t>其他广播电视支出(项)1,008.00万元，主要用于浙江省</w:t>
      </w:r>
      <w:r>
        <w:rPr>
          <w:rFonts w:ascii="FangSong" w:hAnsi="FangSong" w:eastAsia="FangSong" w:cs="FangSong"/>
          <w:sz w:val="30"/>
          <w:szCs w:val="30"/>
          <w:spacing w:val="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7"/>
        </w:rPr>
        <w:t>广播电视事业发展补助资金78万元，主要用于低保补助、</w:t>
      </w:r>
    </w:p>
    <w:p>
      <w:pPr>
        <w:spacing w:line="365" w:lineRule="auto"/>
        <w:sectPr>
          <w:footerReference w:type="default" r:id="rId6"/>
          <w:pgSz w:w="11910" w:h="16840"/>
          <w:pgMar w:top="1431" w:right="1786" w:bottom="1115" w:left="1786" w:header="0" w:footer="991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ind w:left="23" w:right="135"/>
        <w:spacing w:before="196" w:line="369" w:lineRule="auto"/>
        <w:rPr>
          <w:rFonts w:ascii="FangSong" w:hAnsi="FangSong" w:eastAsia="FangSong" w:cs="FangSong"/>
          <w:sz w:val="30"/>
          <w:szCs w:val="30"/>
        </w:rPr>
      </w:pPr>
      <w:bookmarkStart w:name="bookmark30" w:id="47"/>
      <w:bookmarkEnd w:id="47"/>
      <w:r>
        <w:rPr>
          <w:rFonts w:ascii="FangSong" w:hAnsi="FangSong" w:eastAsia="FangSong" w:cs="FangSong"/>
          <w:sz w:val="30"/>
          <w:szCs w:val="30"/>
          <w:spacing w:val="27"/>
        </w:rPr>
        <w:t>对农节目及应急广播支出；传媒中心运维经费及运行经费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7"/>
        </w:rPr>
        <w:t>930万元，主要用于保障传媒业务相关支出。</w:t>
      </w:r>
    </w:p>
    <w:p>
      <w:pPr>
        <w:ind w:left="23" w:right="33" w:firstLine="779"/>
        <w:spacing w:before="1" w:line="378" w:lineRule="auto"/>
        <w:jc w:val="both"/>
        <w:rPr>
          <w:rFonts w:ascii="FangSong" w:hAnsi="FangSong" w:eastAsia="FangSong" w:cs="FangSong"/>
          <w:sz w:val="26"/>
          <w:szCs w:val="26"/>
        </w:rPr>
      </w:pPr>
      <w:r>
        <w:rPr>
          <w:rFonts w:ascii="FangSong" w:hAnsi="FangSong" w:eastAsia="FangSong" w:cs="FangSong"/>
          <w:sz w:val="30"/>
          <w:szCs w:val="30"/>
          <w:spacing w:val="43"/>
        </w:rPr>
        <w:t>(2)文化旅游体育与传媒支出(类)其他文化旅游体</w:t>
      </w:r>
      <w:r>
        <w:rPr>
          <w:rFonts w:ascii="FangSong" w:hAnsi="FangSong" w:eastAsia="FangSong" w:cs="FangSong"/>
          <w:sz w:val="30"/>
          <w:szCs w:val="30"/>
          <w:spacing w:val="1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1"/>
        </w:rPr>
        <w:t>育与传媒支出(款)其他文化旅游体育与传媒支出(项)</w:t>
      </w:r>
      <w:r>
        <w:rPr>
          <w:rFonts w:ascii="FangSong" w:hAnsi="FangSong" w:eastAsia="FangSong" w:cs="FangSong"/>
          <w:sz w:val="30"/>
          <w:szCs w:val="30"/>
          <w:spacing w:val="1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1"/>
        </w:rPr>
        <w:t>227.23万元，主要用于融媒技术、望潮</w:t>
      </w:r>
      <w:r>
        <w:rPr>
          <w:rFonts w:ascii="Times New Roman" w:hAnsi="Times New Roman" w:eastAsia="Times New Roman" w:cs="Times New Roman"/>
          <w:sz w:val="30"/>
          <w:szCs w:val="30"/>
        </w:rPr>
        <w:t>APP</w:t>
      </w:r>
      <w:r>
        <w:rPr>
          <w:rFonts w:ascii="FangSong" w:hAnsi="FangSong" w:eastAsia="FangSong" w:cs="FangSong"/>
          <w:sz w:val="30"/>
          <w:szCs w:val="30"/>
          <w:spacing w:val="31"/>
        </w:rPr>
        <w:t>等媒体融合发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26"/>
          <w:szCs w:val="26"/>
          <w:spacing w:val="27"/>
        </w:rPr>
        <w:t>展费用</w:t>
      </w:r>
      <w:r>
        <w:rPr>
          <w:rFonts w:ascii="FangSong" w:hAnsi="FangSong" w:eastAsia="FangSong" w:cs="FangSong"/>
          <w:sz w:val="26"/>
          <w:szCs w:val="26"/>
          <w:spacing w:val="-65"/>
        </w:rPr>
        <w:t xml:space="preserve"> </w:t>
      </w:r>
      <w:r>
        <w:rPr>
          <w:rFonts w:ascii="FangSong" w:hAnsi="FangSong" w:eastAsia="FangSong" w:cs="FangSong"/>
          <w:sz w:val="26"/>
          <w:szCs w:val="26"/>
          <w:spacing w:val="27"/>
        </w:rPr>
        <w:t>。</w:t>
      </w:r>
    </w:p>
    <w:p>
      <w:pPr>
        <w:ind w:right="50"/>
        <w:spacing w:before="53" w:line="221" w:lineRule="auto"/>
        <w:outlineLvl w:val="1"/>
        <w:jc w:val="right"/>
        <w:rPr>
          <w:rFonts w:ascii="FangSong" w:hAnsi="FangSong" w:eastAsia="FangSong" w:cs="FangSong"/>
          <w:sz w:val="30"/>
          <w:szCs w:val="30"/>
        </w:rPr>
      </w:pPr>
      <w:bookmarkStart w:name="bookmark10" w:id="48"/>
      <w:bookmarkEnd w:id="48"/>
      <w:r>
        <w:rPr>
          <w:rFonts w:ascii="FangSong" w:hAnsi="FangSong" w:eastAsia="FangSong" w:cs="FangSong"/>
          <w:sz w:val="30"/>
          <w:szCs w:val="30"/>
          <w:spacing w:val="31"/>
        </w:rPr>
        <w:t>(六)关于台州市新闻传媒中心2025年</w:t>
      </w:r>
      <w:r>
        <w:rPr>
          <w:rFonts w:ascii="FangSong" w:hAnsi="FangSong" w:eastAsia="FangSong" w:cs="FangSong"/>
          <w:sz w:val="30"/>
          <w:szCs w:val="30"/>
          <w:spacing w:val="-8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1"/>
        </w:rPr>
        <w:t>一般公共预算</w:t>
      </w:r>
    </w:p>
    <w:p>
      <w:pPr>
        <w:ind w:left="23"/>
        <w:spacing w:before="234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6"/>
        </w:rPr>
        <w:t>基本支出情况说明</w:t>
      </w:r>
    </w:p>
    <w:p>
      <w:pPr>
        <w:ind w:left="23" w:right="130" w:firstLine="680"/>
        <w:spacing w:before="246" w:line="36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2"/>
        </w:rPr>
        <w:t>台州市新闻传媒中心2025年</w:t>
      </w:r>
      <w:r>
        <w:rPr>
          <w:rFonts w:ascii="FangSong" w:hAnsi="FangSong" w:eastAsia="FangSong" w:cs="FangSong"/>
          <w:sz w:val="30"/>
          <w:szCs w:val="30"/>
          <w:spacing w:val="-7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2"/>
        </w:rPr>
        <w:t>一</w:t>
      </w:r>
      <w:r>
        <w:rPr>
          <w:rFonts w:ascii="FangSong" w:hAnsi="FangSong" w:eastAsia="FangSong" w:cs="FangSong"/>
          <w:sz w:val="30"/>
          <w:szCs w:val="30"/>
          <w:spacing w:val="-8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2"/>
        </w:rPr>
        <w:t>般公共预算基本支出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3"/>
        </w:rPr>
        <w:t>0.00万元，其中：</w:t>
      </w:r>
    </w:p>
    <w:p>
      <w:pPr>
        <w:ind w:left="673"/>
        <w:spacing w:before="37" w:line="224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1"/>
        </w:rPr>
        <w:t>人员支出0.00万元。</w:t>
      </w:r>
    </w:p>
    <w:p>
      <w:pPr>
        <w:ind w:left="703"/>
        <w:spacing w:before="235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7"/>
        </w:rPr>
        <w:t>日常公用支出0.00万元。</w:t>
      </w:r>
    </w:p>
    <w:p>
      <w:pPr>
        <w:ind w:left="23" w:right="47" w:firstLine="820"/>
        <w:spacing w:before="207" w:line="305" w:lineRule="auto"/>
        <w:outlineLvl w:val="1"/>
        <w:rPr>
          <w:rFonts w:ascii="KaiTi" w:hAnsi="KaiTi" w:eastAsia="KaiTi" w:cs="KaiTi"/>
          <w:sz w:val="30"/>
          <w:szCs w:val="30"/>
        </w:rPr>
      </w:pPr>
      <w:bookmarkStart w:name="bookmark11" w:id="49"/>
      <w:bookmarkEnd w:id="49"/>
      <w:r>
        <w:rPr>
          <w:rFonts w:ascii="KaiTi" w:hAnsi="KaiTi" w:eastAsia="KaiTi" w:cs="KaiTi"/>
          <w:sz w:val="30"/>
          <w:szCs w:val="30"/>
          <w:spacing w:val="34"/>
        </w:rPr>
        <w:t>(七)关于台州市新闻传媒中心2025年</w:t>
      </w:r>
      <w:r>
        <w:rPr>
          <w:rFonts w:ascii="KaiTi" w:hAnsi="KaiTi" w:eastAsia="KaiTi" w:cs="KaiTi"/>
          <w:sz w:val="30"/>
          <w:szCs w:val="30"/>
          <w:spacing w:val="33"/>
        </w:rPr>
        <w:t>政府性基金预</w:t>
      </w:r>
      <w:r>
        <w:rPr>
          <w:rFonts w:ascii="KaiTi" w:hAnsi="KaiTi" w:eastAsia="KaiTi" w:cs="KaiTi"/>
          <w:sz w:val="30"/>
          <w:szCs w:val="30"/>
        </w:rPr>
        <w:t xml:space="preserve"> </w:t>
      </w:r>
      <w:bookmarkStart w:name="bookmark11" w:id="50"/>
      <w:bookmarkEnd w:id="50"/>
      <w:r>
        <w:rPr>
          <w:rFonts w:ascii="KaiTi" w:hAnsi="KaiTi" w:eastAsia="KaiTi" w:cs="KaiTi"/>
          <w:sz w:val="30"/>
          <w:szCs w:val="30"/>
          <w:spacing w:val="14"/>
        </w:rPr>
        <w:t>算支出情况说明</w:t>
      </w:r>
    </w:p>
    <w:p>
      <w:pPr>
        <w:ind w:left="23" w:right="49" w:firstLine="680"/>
        <w:spacing w:before="217" w:line="369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7"/>
        </w:rPr>
        <w:t>台州市新闻传媒中心2025年没有使用政府性基金预算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2"/>
        </w:rPr>
        <w:t>拨款安排的支出，与上年持平。</w:t>
      </w:r>
    </w:p>
    <w:p>
      <w:pPr>
        <w:ind w:left="23" w:right="39" w:firstLine="820"/>
        <w:spacing w:before="2" w:line="302" w:lineRule="auto"/>
        <w:outlineLvl w:val="1"/>
        <w:rPr>
          <w:rFonts w:ascii="KaiTi" w:hAnsi="KaiTi" w:eastAsia="KaiTi" w:cs="KaiTi"/>
          <w:sz w:val="30"/>
          <w:szCs w:val="30"/>
        </w:rPr>
      </w:pPr>
      <w:bookmarkStart w:name="bookmark12" w:id="51"/>
      <w:bookmarkEnd w:id="51"/>
      <w:r>
        <w:rPr>
          <w:rFonts w:ascii="KaiTi" w:hAnsi="KaiTi" w:eastAsia="KaiTi" w:cs="KaiTi"/>
          <w:sz w:val="30"/>
          <w:szCs w:val="30"/>
          <w:spacing w:val="34"/>
        </w:rPr>
        <w:t>(八)关于台州市新闻传媒中心2025年国有资本经营</w:t>
      </w:r>
      <w:r>
        <w:rPr>
          <w:rFonts w:ascii="KaiTi" w:hAnsi="KaiTi" w:eastAsia="KaiTi" w:cs="KaiTi"/>
          <w:sz w:val="30"/>
          <w:szCs w:val="30"/>
          <w:spacing w:val="2"/>
        </w:rPr>
        <w:t xml:space="preserve"> </w:t>
      </w:r>
      <w:bookmarkStart w:name="bookmark12" w:id="52"/>
      <w:bookmarkEnd w:id="52"/>
      <w:r>
        <w:rPr>
          <w:rFonts w:ascii="KaiTi" w:hAnsi="KaiTi" w:eastAsia="KaiTi" w:cs="KaiTi"/>
          <w:sz w:val="30"/>
          <w:szCs w:val="30"/>
          <w:spacing w:val="15"/>
        </w:rPr>
        <w:t>预算支出情况说明</w:t>
      </w:r>
    </w:p>
    <w:p>
      <w:pPr>
        <w:ind w:left="663"/>
        <w:spacing w:before="230" w:line="225" w:lineRule="auto"/>
        <w:rPr>
          <w:rFonts w:ascii="KaiTi" w:hAnsi="KaiTi" w:eastAsia="KaiTi" w:cs="KaiTi"/>
          <w:sz w:val="30"/>
          <w:szCs w:val="30"/>
        </w:rPr>
      </w:pPr>
      <w:r>
        <w:rPr>
          <w:rFonts w:ascii="KaiTi" w:hAnsi="KaiTi" w:eastAsia="KaiTi" w:cs="KaiTi"/>
          <w:sz w:val="30"/>
          <w:szCs w:val="30"/>
          <w:spacing w:val="12"/>
        </w:rPr>
        <w:t>1.</w:t>
      </w:r>
      <w:r>
        <w:rPr>
          <w:rFonts w:ascii="KaiTi" w:hAnsi="KaiTi" w:eastAsia="KaiTi" w:cs="KaiTi"/>
          <w:sz w:val="30"/>
          <w:szCs w:val="30"/>
          <w:spacing w:val="-74"/>
        </w:rPr>
        <w:t xml:space="preserve"> </w:t>
      </w:r>
      <w:r>
        <w:rPr>
          <w:rFonts w:ascii="KaiTi" w:hAnsi="KaiTi" w:eastAsia="KaiTi" w:cs="KaiTi"/>
          <w:sz w:val="30"/>
          <w:szCs w:val="30"/>
          <w:spacing w:val="12"/>
        </w:rPr>
        <w:t>国有资本经营预算当年拨款规模变化情况。</w:t>
      </w:r>
    </w:p>
    <w:p>
      <w:pPr>
        <w:ind w:left="23" w:right="48" w:firstLine="680"/>
        <w:spacing w:before="231" w:line="36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7"/>
        </w:rPr>
        <w:t>台州市新闻传媒中心2025年国有资本经营预算当年拨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7"/>
        </w:rPr>
        <w:t>款65</w:t>
      </w:r>
      <w:r>
        <w:rPr>
          <w:rFonts w:ascii="FangSong" w:hAnsi="FangSong" w:eastAsia="FangSong" w:cs="FangSong"/>
          <w:sz w:val="30"/>
          <w:szCs w:val="30"/>
          <w:spacing w:val="-7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7"/>
        </w:rPr>
        <w:t>.00万元，比上年执行数增加65</w:t>
      </w:r>
      <w:r>
        <w:rPr>
          <w:rFonts w:ascii="FangSong" w:hAnsi="FangSong" w:eastAsia="FangSong" w:cs="FangSong"/>
          <w:sz w:val="30"/>
          <w:szCs w:val="30"/>
          <w:spacing w:val="-8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7"/>
        </w:rPr>
        <w:t>.00万元(上年执行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4"/>
        </w:rPr>
        <w:t>数为0</w:t>
      </w:r>
      <w:r>
        <w:rPr>
          <w:rFonts w:ascii="FangSong" w:hAnsi="FangSong" w:eastAsia="FangSong" w:cs="FangSong"/>
          <w:sz w:val="30"/>
          <w:szCs w:val="30"/>
          <w:spacing w:val="-7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4"/>
        </w:rPr>
        <w:t>.</w:t>
      </w:r>
      <w:r>
        <w:rPr>
          <w:rFonts w:ascii="FangSong" w:hAnsi="FangSong" w:eastAsia="FangSong" w:cs="FangSong"/>
          <w:sz w:val="30"/>
          <w:szCs w:val="30"/>
          <w:spacing w:val="-8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4"/>
        </w:rPr>
        <w:t>00万元，无法计算增减比率),主要是20</w:t>
      </w:r>
      <w:r>
        <w:rPr>
          <w:rFonts w:ascii="FangSong" w:hAnsi="FangSong" w:eastAsia="FangSong" w:cs="FangSong"/>
          <w:sz w:val="30"/>
          <w:szCs w:val="30"/>
          <w:spacing w:val="43"/>
        </w:rPr>
        <w:t>24年无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"/>
        </w:rPr>
        <w:t>该项拨款支出。</w:t>
      </w:r>
    </w:p>
    <w:p>
      <w:pPr>
        <w:spacing w:line="365" w:lineRule="auto"/>
        <w:sectPr>
          <w:footerReference w:type="default" r:id="rId7"/>
          <w:pgSz w:w="11910" w:h="16840"/>
          <w:pgMar w:top="1431" w:right="1786" w:bottom="1117" w:left="1786" w:header="0" w:footer="991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pStyle w:val="BodyText"/>
        <w:ind w:left="663"/>
        <w:spacing w:before="216" w:line="222" w:lineRule="auto"/>
        <w:rPr>
          <w:rFonts w:ascii="FangSong" w:hAnsi="FangSong" w:eastAsia="FangSong" w:cs="FangSong"/>
          <w:sz w:val="30"/>
          <w:szCs w:val="30"/>
        </w:rPr>
      </w:pPr>
      <w:bookmarkStart w:name="bookmark31" w:id="53"/>
      <w:bookmarkEnd w:id="53"/>
      <w:r>
        <w:rPr>
          <w:sz w:val="30"/>
          <w:szCs w:val="30"/>
          <w:spacing w:val="15"/>
        </w:rPr>
        <w:t>2.</w:t>
      </w:r>
      <w:r>
        <w:rPr>
          <w:rFonts w:ascii="FangSong" w:hAnsi="FangSong" w:eastAsia="FangSong" w:cs="FangSong"/>
          <w:sz w:val="30"/>
          <w:szCs w:val="30"/>
          <w:spacing w:val="15"/>
        </w:rPr>
        <w:t>国有资本经营预算当年拨款结构情况。</w:t>
      </w:r>
    </w:p>
    <w:p>
      <w:pPr>
        <w:pStyle w:val="BodyText"/>
        <w:ind w:left="23" w:right="156" w:firstLine="640"/>
        <w:spacing w:before="249" w:line="349" w:lineRule="auto"/>
        <w:rPr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-26"/>
        </w:rPr>
        <w:t>国</w:t>
      </w:r>
      <w:r>
        <w:rPr>
          <w:rFonts w:ascii="FangSong" w:hAnsi="FangSong" w:eastAsia="FangSong" w:cs="FangSong"/>
          <w:sz w:val="30"/>
          <w:szCs w:val="30"/>
          <w:spacing w:val="-2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有</w:t>
      </w:r>
      <w:r>
        <w:rPr>
          <w:rFonts w:ascii="FangSong" w:hAnsi="FangSong" w:eastAsia="FangSong" w:cs="FangSong"/>
          <w:sz w:val="30"/>
          <w:szCs w:val="30"/>
          <w:spacing w:val="-2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资</w:t>
      </w:r>
      <w:r>
        <w:rPr>
          <w:rFonts w:ascii="FangSong" w:hAnsi="FangSong" w:eastAsia="FangSong" w:cs="FangSong"/>
          <w:sz w:val="30"/>
          <w:szCs w:val="30"/>
          <w:spacing w:val="-3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本</w:t>
      </w:r>
      <w:r>
        <w:rPr>
          <w:rFonts w:ascii="FangSong" w:hAnsi="FangSong" w:eastAsia="FangSong" w:cs="FangSong"/>
          <w:sz w:val="30"/>
          <w:szCs w:val="30"/>
          <w:spacing w:val="-3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经</w:t>
      </w:r>
      <w:r>
        <w:rPr>
          <w:rFonts w:ascii="FangSong" w:hAnsi="FangSong" w:eastAsia="FangSong" w:cs="FangSong"/>
          <w:sz w:val="30"/>
          <w:szCs w:val="30"/>
          <w:spacing w:val="-2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营</w:t>
      </w:r>
      <w:r>
        <w:rPr>
          <w:rFonts w:ascii="FangSong" w:hAnsi="FangSong" w:eastAsia="FangSong" w:cs="FangSong"/>
          <w:sz w:val="30"/>
          <w:szCs w:val="30"/>
          <w:spacing w:val="-3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预</w:t>
      </w:r>
      <w:r>
        <w:rPr>
          <w:rFonts w:ascii="FangSong" w:hAnsi="FangSong" w:eastAsia="FangSong" w:cs="FangSong"/>
          <w:sz w:val="30"/>
          <w:szCs w:val="30"/>
          <w:spacing w:val="-3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算</w:t>
      </w:r>
      <w:r>
        <w:rPr>
          <w:rFonts w:ascii="FangSong" w:hAnsi="FangSong" w:eastAsia="FangSong" w:cs="FangSong"/>
          <w:sz w:val="30"/>
          <w:szCs w:val="30"/>
          <w:spacing w:val="-2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(</w:t>
      </w:r>
      <w:r>
        <w:rPr>
          <w:rFonts w:ascii="FangSong" w:hAnsi="FangSong" w:eastAsia="FangSong" w:cs="FangSong"/>
          <w:sz w:val="30"/>
          <w:szCs w:val="30"/>
          <w:spacing w:val="-2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类</w:t>
      </w:r>
      <w:r>
        <w:rPr>
          <w:rFonts w:ascii="FangSong" w:hAnsi="FangSong" w:eastAsia="FangSong" w:cs="FangSong"/>
          <w:sz w:val="30"/>
          <w:szCs w:val="30"/>
          <w:spacing w:val="-4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)</w:t>
      </w:r>
      <w:r>
        <w:rPr>
          <w:rFonts w:ascii="FangSong" w:hAnsi="FangSong" w:eastAsia="FangSong" w:cs="FangSong"/>
          <w:sz w:val="30"/>
          <w:szCs w:val="30"/>
          <w:spacing w:val="-3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支</w:t>
      </w:r>
      <w:r>
        <w:rPr>
          <w:rFonts w:ascii="FangSong" w:hAnsi="FangSong" w:eastAsia="FangSong" w:cs="FangSong"/>
          <w:sz w:val="30"/>
          <w:szCs w:val="30"/>
          <w:spacing w:val="-2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出</w:t>
      </w:r>
      <w:r>
        <w:rPr>
          <w:rFonts w:ascii="FangSong" w:hAnsi="FangSong" w:eastAsia="FangSong" w:cs="FangSong"/>
          <w:sz w:val="30"/>
          <w:szCs w:val="30"/>
          <w:spacing w:val="-4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6</w:t>
      </w:r>
      <w:r>
        <w:rPr>
          <w:rFonts w:ascii="FangSong" w:hAnsi="FangSong" w:eastAsia="FangSong" w:cs="FangSong"/>
          <w:sz w:val="30"/>
          <w:szCs w:val="30"/>
          <w:spacing w:val="-2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5</w:t>
      </w:r>
      <w:r>
        <w:rPr>
          <w:rFonts w:ascii="FangSong" w:hAnsi="FangSong" w:eastAsia="FangSong" w:cs="FangSong"/>
          <w:sz w:val="30"/>
          <w:szCs w:val="30"/>
          <w:spacing w:val="-34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.</w:t>
      </w:r>
      <w:r>
        <w:rPr>
          <w:rFonts w:ascii="FangSong" w:hAnsi="FangSong" w:eastAsia="FangSong" w:cs="FangSong"/>
          <w:sz w:val="30"/>
          <w:szCs w:val="30"/>
          <w:spacing w:val="-4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0</w:t>
      </w:r>
      <w:r>
        <w:rPr>
          <w:rFonts w:ascii="FangSong" w:hAnsi="FangSong" w:eastAsia="FangSong" w:cs="FangSong"/>
          <w:sz w:val="30"/>
          <w:szCs w:val="30"/>
          <w:spacing w:val="-4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0</w:t>
      </w:r>
      <w:r>
        <w:rPr>
          <w:rFonts w:ascii="FangSong" w:hAnsi="FangSong" w:eastAsia="FangSong" w:cs="FangSong"/>
          <w:sz w:val="30"/>
          <w:szCs w:val="30"/>
          <w:spacing w:val="-3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万</w:t>
      </w:r>
      <w:r>
        <w:rPr>
          <w:rFonts w:ascii="FangSong" w:hAnsi="FangSong" w:eastAsia="FangSong" w:cs="FangSong"/>
          <w:sz w:val="30"/>
          <w:szCs w:val="30"/>
          <w:spacing w:val="-2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元</w:t>
      </w:r>
      <w:r>
        <w:rPr>
          <w:rFonts w:ascii="FangSong" w:hAnsi="FangSong" w:eastAsia="FangSong" w:cs="FangSong"/>
          <w:sz w:val="30"/>
          <w:szCs w:val="30"/>
          <w:spacing w:val="-2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，</w:t>
      </w:r>
      <w:r>
        <w:rPr>
          <w:rFonts w:ascii="FangSong" w:hAnsi="FangSong" w:eastAsia="FangSong" w:cs="FangSong"/>
          <w:sz w:val="30"/>
          <w:szCs w:val="30"/>
          <w:spacing w:val="1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26"/>
        </w:rPr>
        <w:t>占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  <w:spacing w:val="-6"/>
        </w:rPr>
        <w:t>100.0%</w:t>
      </w:r>
      <w:r>
        <w:rPr>
          <w:sz w:val="30"/>
          <w:szCs w:val="30"/>
          <w:spacing w:val="-6"/>
        </w:rPr>
        <w:t>。</w:t>
      </w:r>
    </w:p>
    <w:p>
      <w:pPr>
        <w:pStyle w:val="BodyText"/>
        <w:ind w:left="663"/>
        <w:spacing w:before="55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15"/>
        </w:rPr>
        <w:t>3.</w:t>
      </w:r>
      <w:r>
        <w:rPr>
          <w:rFonts w:ascii="FangSong" w:hAnsi="FangSong" w:eastAsia="FangSong" w:cs="FangSong"/>
          <w:sz w:val="30"/>
          <w:szCs w:val="30"/>
          <w:spacing w:val="15"/>
        </w:rPr>
        <w:t>国有资本经营预算当年拨款具体使用情况。</w:t>
      </w:r>
    </w:p>
    <w:p>
      <w:pPr>
        <w:ind w:left="23" w:right="29" w:firstLine="640"/>
        <w:spacing w:before="221" w:line="365" w:lineRule="auto"/>
        <w:tabs>
          <w:tab w:val="left" w:pos="172"/>
        </w:tabs>
        <w:jc w:val="both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59"/>
        </w:rPr>
        <w:t>国有资本经营预算支出(类)国有企业资本金注入</w:t>
      </w:r>
      <w:r>
        <w:rPr>
          <w:rFonts w:ascii="FangSong" w:hAnsi="FangSong" w:eastAsia="FangSong" w:cs="FangSong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ab/>
      </w:r>
      <w:r>
        <w:rPr>
          <w:rFonts w:ascii="FangSong" w:hAnsi="FangSong" w:eastAsia="FangSong" w:cs="FangSong"/>
          <w:sz w:val="30"/>
          <w:szCs w:val="30"/>
          <w:spacing w:val="36"/>
        </w:rPr>
        <w:t>(款)其他国有企业资本金注入(项)65</w:t>
      </w:r>
      <w:r>
        <w:rPr>
          <w:rFonts w:ascii="FangSong" w:hAnsi="FangSong" w:eastAsia="FangSong" w:cs="FangSong"/>
          <w:sz w:val="30"/>
          <w:szCs w:val="30"/>
          <w:spacing w:val="-7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6"/>
        </w:rPr>
        <w:t>.00万元，主要用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0"/>
        </w:rPr>
        <w:t>于国有资本经营支出相关费用。</w:t>
      </w:r>
    </w:p>
    <w:p>
      <w:pPr>
        <w:ind w:left="13" w:right="23" w:firstLine="839"/>
        <w:spacing w:before="30" w:line="300" w:lineRule="auto"/>
        <w:outlineLvl w:val="1"/>
        <w:rPr>
          <w:rFonts w:ascii="KaiTi" w:hAnsi="KaiTi" w:eastAsia="KaiTi" w:cs="KaiTi"/>
          <w:sz w:val="30"/>
          <w:szCs w:val="30"/>
        </w:rPr>
      </w:pPr>
      <w:bookmarkStart w:name="bookmark13" w:id="54"/>
      <w:bookmarkEnd w:id="54"/>
      <w:r>
        <w:rPr>
          <w:rFonts w:ascii="KaiTi" w:hAnsi="KaiTi" w:eastAsia="KaiTi" w:cs="KaiTi"/>
          <w:sz w:val="30"/>
          <w:szCs w:val="30"/>
          <w:spacing w:val="34"/>
        </w:rPr>
        <w:t>(九)关于台州市新闻传媒中心2025年一般公共预算</w:t>
      </w:r>
      <w:r>
        <w:rPr>
          <w:rFonts w:ascii="KaiTi" w:hAnsi="KaiTi" w:eastAsia="KaiTi" w:cs="KaiTi"/>
          <w:sz w:val="30"/>
          <w:szCs w:val="30"/>
          <w:spacing w:val="8"/>
        </w:rPr>
        <w:t xml:space="preserve"> </w:t>
      </w:r>
      <w:bookmarkStart w:name="bookmark13" w:id="55"/>
      <w:bookmarkEnd w:id="55"/>
      <w:r>
        <w:rPr>
          <w:rFonts w:ascii="KaiTi" w:hAnsi="KaiTi" w:eastAsia="KaiTi" w:cs="KaiTi"/>
          <w:sz w:val="30"/>
          <w:szCs w:val="30"/>
          <w:spacing w:val="20"/>
        </w:rPr>
        <w:t>“三公”经费预算情况说明</w:t>
      </w:r>
    </w:p>
    <w:p>
      <w:pPr>
        <w:ind w:left="23" w:right="147" w:firstLine="640"/>
        <w:spacing w:before="214" w:line="37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11"/>
        </w:rPr>
        <w:t>台州市新闻传媒中心2025年“三公”经费预算数为0.00</w:t>
      </w:r>
      <w:r>
        <w:rPr>
          <w:rFonts w:ascii="FangSong" w:hAnsi="FangSong" w:eastAsia="FangSong" w:cs="FangSong"/>
          <w:sz w:val="30"/>
          <w:szCs w:val="30"/>
          <w:spacing w:val="1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2"/>
        </w:rPr>
        <w:t>万元，与上年预算数持平。具体如下：</w:t>
      </w:r>
    </w:p>
    <w:p>
      <w:pPr>
        <w:pStyle w:val="BodyText"/>
        <w:ind w:left="23" w:right="63" w:firstLine="640"/>
        <w:spacing w:before="8" w:line="365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42"/>
        </w:rPr>
        <w:t>1.</w:t>
      </w:r>
      <w:r>
        <w:rPr>
          <w:rFonts w:ascii="FangSong" w:hAnsi="FangSong" w:eastAsia="FangSong" w:cs="FangSong"/>
          <w:sz w:val="30"/>
          <w:szCs w:val="30"/>
          <w:spacing w:val="42"/>
        </w:rPr>
        <w:t>因公出国(境)费用：根据因公出国计划和实际工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4"/>
        </w:rPr>
        <w:t>作需要，2025年安排因公出国(境)费用预算0.00万元，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6"/>
        </w:rPr>
        <w:t>与上年预算数持平。</w:t>
      </w:r>
    </w:p>
    <w:p>
      <w:pPr>
        <w:pStyle w:val="BodyText"/>
        <w:ind w:left="23" w:right="62" w:firstLine="640"/>
        <w:spacing w:before="1" w:line="374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35"/>
        </w:rPr>
        <w:t>2.</w:t>
      </w:r>
      <w:r>
        <w:rPr>
          <w:rFonts w:ascii="FangSong" w:hAnsi="FangSong" w:eastAsia="FangSong" w:cs="FangSong"/>
          <w:sz w:val="30"/>
          <w:szCs w:val="30"/>
          <w:spacing w:val="35"/>
        </w:rPr>
        <w:t>公务接待费：2025年安排公务接待费预算0</w:t>
      </w:r>
      <w:r>
        <w:rPr>
          <w:rFonts w:ascii="FangSong" w:hAnsi="FangSong" w:eastAsia="FangSong" w:cs="FangSong"/>
          <w:sz w:val="30"/>
          <w:szCs w:val="30"/>
          <w:spacing w:val="-8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5"/>
        </w:rPr>
        <w:t>.00万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8"/>
        </w:rPr>
        <w:t>元，与上年预算数持平。</w:t>
      </w:r>
    </w:p>
    <w:p>
      <w:pPr>
        <w:pStyle w:val="BodyText"/>
        <w:ind w:left="23" w:right="55" w:firstLine="640"/>
        <w:spacing w:before="1" w:line="365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27"/>
        </w:rPr>
        <w:t>3.</w:t>
      </w:r>
      <w:r>
        <w:rPr>
          <w:rFonts w:ascii="FangSong" w:hAnsi="FangSong" w:eastAsia="FangSong" w:cs="FangSong"/>
          <w:sz w:val="30"/>
          <w:szCs w:val="30"/>
          <w:spacing w:val="27"/>
        </w:rPr>
        <w:t>公务用车购置及运行维护费：2025年安排公务用车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8"/>
        </w:rPr>
        <w:t>购置及运行维护费预算0.00万元，与上年</w:t>
      </w:r>
      <w:r>
        <w:rPr>
          <w:rFonts w:ascii="FangSong" w:hAnsi="FangSong" w:eastAsia="FangSong" w:cs="FangSong"/>
          <w:sz w:val="30"/>
          <w:szCs w:val="30"/>
          <w:spacing w:val="27"/>
        </w:rPr>
        <w:t>预算数持平。其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3"/>
        </w:rPr>
        <w:t>中，公务用车购置支出0</w:t>
      </w:r>
      <w:r>
        <w:rPr>
          <w:rFonts w:ascii="FangSong" w:hAnsi="FangSong" w:eastAsia="FangSong" w:cs="FangSong"/>
          <w:sz w:val="30"/>
          <w:szCs w:val="30"/>
          <w:spacing w:val="-5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3"/>
        </w:rPr>
        <w:t>.</w:t>
      </w:r>
      <w:r>
        <w:rPr>
          <w:rFonts w:ascii="FangSong" w:hAnsi="FangSong" w:eastAsia="FangSong" w:cs="FangSong"/>
          <w:sz w:val="30"/>
          <w:szCs w:val="30"/>
          <w:spacing w:val="-7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3"/>
        </w:rPr>
        <w:t>00万元(含购置税等附加费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8"/>
        </w:rPr>
        <w:t>用),主要用于经批准购置的0辆公务用车，与上年预算</w:t>
      </w:r>
      <w:r>
        <w:rPr>
          <w:rFonts w:ascii="FangSong" w:hAnsi="FangSong" w:eastAsia="FangSong" w:cs="FangSong"/>
          <w:sz w:val="30"/>
          <w:szCs w:val="30"/>
          <w:spacing w:val="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8"/>
        </w:rPr>
        <w:t>数持平；公务用车运行维护费支出0.00万元</w:t>
      </w:r>
      <w:r>
        <w:rPr>
          <w:rFonts w:ascii="FangSong" w:hAnsi="FangSong" w:eastAsia="FangSong" w:cs="FangSong"/>
          <w:sz w:val="30"/>
          <w:szCs w:val="30"/>
          <w:spacing w:val="27"/>
        </w:rPr>
        <w:t>，主要用于公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3"/>
        </w:rPr>
        <w:t>务用车燃料费、新能源汽车充电费、维修费、过桥过路</w:t>
      </w:r>
      <w:r>
        <w:rPr>
          <w:rFonts w:ascii="FangSong" w:hAnsi="FangSong" w:eastAsia="FangSong" w:cs="FangSong"/>
          <w:sz w:val="30"/>
          <w:szCs w:val="30"/>
          <w:spacing w:val="1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5"/>
        </w:rPr>
        <w:t>费、保险费、安全奖励费用等支出，与上年预算数持平。</w:t>
      </w:r>
    </w:p>
    <w:p>
      <w:pPr>
        <w:spacing w:line="365" w:lineRule="auto"/>
        <w:sectPr>
          <w:footerReference w:type="default" r:id="rId8"/>
          <w:pgSz w:w="11910" w:h="16840"/>
          <w:pgMar w:top="1431" w:right="1786" w:bottom="1115" w:left="1786" w:header="0" w:footer="991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ind w:left="843"/>
        <w:spacing w:before="216" w:line="224" w:lineRule="auto"/>
        <w:outlineLvl w:val="1"/>
        <w:rPr>
          <w:rFonts w:ascii="KaiTi" w:hAnsi="KaiTi" w:eastAsia="KaiTi" w:cs="KaiTi"/>
          <w:sz w:val="30"/>
          <w:szCs w:val="30"/>
        </w:rPr>
      </w:pPr>
      <w:bookmarkStart w:name="bookmark14" w:id="56"/>
      <w:bookmarkEnd w:id="56"/>
      <w:r>
        <w:rPr>
          <w:rFonts w:ascii="KaiTi" w:hAnsi="KaiTi" w:eastAsia="KaiTi" w:cs="KaiTi"/>
          <w:sz w:val="30"/>
          <w:szCs w:val="30"/>
          <w:spacing w:val="26"/>
        </w:rPr>
        <w:t>(十)其他重要事项的情况说明</w:t>
      </w:r>
    </w:p>
    <w:p>
      <w:pPr>
        <w:pStyle w:val="BodyText"/>
        <w:ind w:left="653"/>
        <w:spacing w:before="248" w:line="227" w:lineRule="auto"/>
        <w:rPr>
          <w:rFonts w:ascii="KaiTi" w:hAnsi="KaiTi" w:eastAsia="KaiTi" w:cs="KaiTi"/>
          <w:sz w:val="30"/>
          <w:szCs w:val="30"/>
        </w:rPr>
      </w:pPr>
      <w:r>
        <w:rPr>
          <w:sz w:val="30"/>
          <w:szCs w:val="30"/>
          <w:spacing w:val="7"/>
        </w:rPr>
        <w:t>1.</w:t>
      </w:r>
      <w:r>
        <w:rPr>
          <w:rFonts w:ascii="KaiTi" w:hAnsi="KaiTi" w:eastAsia="KaiTi" w:cs="KaiTi"/>
          <w:sz w:val="30"/>
          <w:szCs w:val="30"/>
          <w:spacing w:val="7"/>
        </w:rPr>
        <w:t>政府采购情况。</w:t>
      </w:r>
    </w:p>
    <w:p>
      <w:pPr>
        <w:ind w:left="13" w:right="73" w:firstLine="640"/>
        <w:spacing w:before="225" w:line="360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5"/>
        </w:rPr>
        <w:t>2025年台州市新闻传媒中心各单位政府采购预算总额</w:t>
      </w:r>
      <w:r>
        <w:rPr>
          <w:rFonts w:ascii="FangSong" w:hAnsi="FangSong" w:eastAsia="FangSong" w:cs="FangSong"/>
          <w:sz w:val="30"/>
          <w:szCs w:val="30"/>
          <w:spacing w:val="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3"/>
        </w:rPr>
        <w:t>0.00万元，其中：政府采购货物预算0万元、政府采购工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1"/>
        </w:rPr>
        <w:t>程预算0万元、政府采购服务预算0万元。</w:t>
      </w:r>
    </w:p>
    <w:p>
      <w:pPr>
        <w:pStyle w:val="BodyText"/>
        <w:ind w:left="653"/>
        <w:spacing w:before="44" w:line="223" w:lineRule="auto"/>
        <w:rPr>
          <w:rFonts w:ascii="KaiTi" w:hAnsi="KaiTi" w:eastAsia="KaiTi" w:cs="KaiTi"/>
          <w:sz w:val="30"/>
          <w:szCs w:val="30"/>
        </w:rPr>
      </w:pPr>
      <w:r>
        <w:rPr>
          <w:sz w:val="30"/>
          <w:szCs w:val="30"/>
          <w:spacing w:val="11"/>
        </w:rPr>
        <w:t>2.</w:t>
      </w:r>
      <w:r>
        <w:rPr>
          <w:rFonts w:ascii="KaiTi" w:hAnsi="KaiTi" w:eastAsia="KaiTi" w:cs="KaiTi"/>
          <w:sz w:val="30"/>
          <w:szCs w:val="30"/>
          <w:spacing w:val="11"/>
        </w:rPr>
        <w:t>国有资产占有使用情况。</w:t>
      </w:r>
    </w:p>
    <w:p>
      <w:pPr>
        <w:ind w:left="13" w:right="71" w:firstLine="640"/>
        <w:spacing w:before="221" w:line="363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9"/>
        </w:rPr>
        <w:t>截至2024年12月31日，台州市新闻传媒中</w:t>
      </w:r>
      <w:r>
        <w:rPr>
          <w:rFonts w:ascii="FangSong" w:hAnsi="FangSong" w:eastAsia="FangSong" w:cs="FangSong"/>
          <w:sz w:val="30"/>
          <w:szCs w:val="30"/>
          <w:spacing w:val="38"/>
        </w:rPr>
        <w:t>心所属各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2"/>
        </w:rPr>
        <w:t>预算单位共有车辆0辆，其中，应急保障用车0辆、老干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9"/>
        </w:rPr>
        <w:t>部服务用车0辆、执法执勤用车0辆、特种专业技术用车</w:t>
      </w:r>
      <w:r>
        <w:rPr>
          <w:rFonts w:ascii="FangSong" w:hAnsi="FangSong" w:eastAsia="FangSong" w:cs="FangSong"/>
          <w:sz w:val="30"/>
          <w:szCs w:val="30"/>
          <w:spacing w:val="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6"/>
        </w:rPr>
        <w:t>0辆、行政执法专用车0辆、其他用车0辆。单位价值100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7"/>
        </w:rPr>
        <w:t>万元以上设备0台(套)。</w:t>
      </w:r>
    </w:p>
    <w:p>
      <w:pPr>
        <w:ind w:left="13" w:right="67" w:firstLine="640"/>
        <w:spacing w:before="46" w:line="366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33"/>
        </w:rPr>
        <w:t>2025年部门预算未安排购置车辆、单位价值100万元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5"/>
        </w:rPr>
        <w:t>以上设备。</w:t>
      </w:r>
    </w:p>
    <w:p>
      <w:pPr>
        <w:pStyle w:val="BodyText"/>
        <w:ind w:left="653"/>
        <w:spacing w:before="27" w:line="227" w:lineRule="auto"/>
        <w:rPr>
          <w:rFonts w:ascii="KaiTi" w:hAnsi="KaiTi" w:eastAsia="KaiTi" w:cs="KaiTi"/>
          <w:sz w:val="30"/>
          <w:szCs w:val="30"/>
        </w:rPr>
      </w:pPr>
      <w:r>
        <w:rPr>
          <w:sz w:val="30"/>
          <w:szCs w:val="30"/>
          <w:spacing w:val="13"/>
        </w:rPr>
        <w:t>3.</w:t>
      </w:r>
      <w:r>
        <w:rPr>
          <w:rFonts w:ascii="KaiTi" w:hAnsi="KaiTi" w:eastAsia="KaiTi" w:cs="KaiTi"/>
          <w:sz w:val="30"/>
          <w:szCs w:val="30"/>
          <w:spacing w:val="13"/>
        </w:rPr>
        <w:t>预算绩效情况说明。</w:t>
      </w:r>
    </w:p>
    <w:p>
      <w:pPr>
        <w:ind w:left="13" w:right="48" w:firstLine="640"/>
        <w:spacing w:before="233" w:line="365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29"/>
        </w:rPr>
        <w:t>2025年台州市新闻传媒中心其他运转类项目和特定目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1"/>
        </w:rPr>
        <w:t>标类项目均实行绩效目标管理，共计3个</w:t>
      </w:r>
      <w:r>
        <w:rPr>
          <w:rFonts w:ascii="FangSong" w:hAnsi="FangSong" w:eastAsia="FangSong" w:cs="FangSong"/>
          <w:sz w:val="30"/>
          <w:szCs w:val="30"/>
          <w:spacing w:val="-8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1"/>
        </w:rPr>
        <w:t>一</w:t>
      </w:r>
      <w:r>
        <w:rPr>
          <w:rFonts w:ascii="FangSong" w:hAnsi="FangSong" w:eastAsia="FangSong" w:cs="FangSong"/>
          <w:sz w:val="30"/>
          <w:szCs w:val="30"/>
          <w:spacing w:val="-8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1"/>
        </w:rPr>
        <w:t>级项目，涉及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5"/>
        </w:rPr>
        <w:t>当年资金1,300.23万元。同时，将按照相关制度规定开展</w:t>
      </w:r>
      <w:r>
        <w:rPr>
          <w:rFonts w:ascii="FangSong" w:hAnsi="FangSong" w:eastAsia="FangSong" w:cs="FangSong"/>
          <w:sz w:val="30"/>
          <w:szCs w:val="30"/>
          <w:spacing w:val="6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3"/>
        </w:rPr>
        <w:t>绩效自评。</w:t>
      </w:r>
      <w:r>
        <w:rPr>
          <w:rFonts w:ascii="FangSong" w:hAnsi="FangSong" w:eastAsia="FangSong" w:cs="FangSong"/>
          <w:sz w:val="30"/>
          <w:szCs w:val="30"/>
          <w:spacing w:val="2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23"/>
        </w:rPr>
        <w:t>一级项目绩效目标，详见“部门项目支出绩效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-38"/>
        </w:rPr>
        <w:t>表”。</w:t>
      </w:r>
    </w:p>
    <w:p>
      <w:pPr>
        <w:ind w:left="657"/>
        <w:spacing w:before="1" w:line="222" w:lineRule="auto"/>
        <w:outlineLvl w:val="0"/>
        <w:rPr>
          <w:rFonts w:ascii="SimHei" w:hAnsi="SimHei" w:eastAsia="SimHei" w:cs="SimHei"/>
          <w:sz w:val="30"/>
          <w:szCs w:val="30"/>
        </w:rPr>
      </w:pPr>
      <w:bookmarkStart w:name="bookmark15" w:id="57"/>
      <w:bookmarkEnd w:id="57"/>
      <w:r>
        <w:rPr>
          <w:rFonts w:ascii="SimHei" w:hAnsi="SimHei" w:eastAsia="SimHei" w:cs="SimHei"/>
          <w:sz w:val="30"/>
          <w:szCs w:val="30"/>
          <w:b/>
          <w:bCs/>
          <w:spacing w:val="12"/>
        </w:rPr>
        <w:t>三、名词解释</w:t>
      </w:r>
    </w:p>
    <w:p>
      <w:pPr>
        <w:pStyle w:val="BodyText"/>
        <w:ind w:left="13" w:right="71" w:firstLine="640"/>
        <w:spacing w:before="156" w:line="316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29"/>
        </w:rPr>
        <w:t>1.</w:t>
      </w:r>
      <w:r>
        <w:rPr>
          <w:rFonts w:ascii="KaiTi" w:hAnsi="KaiTi" w:eastAsia="KaiTi" w:cs="KaiTi"/>
          <w:sz w:val="30"/>
          <w:szCs w:val="30"/>
          <w:spacing w:val="29"/>
        </w:rPr>
        <w:t>财政拨款收入：本级财政部门当年拨付的财政预算</w:t>
      </w:r>
      <w:r>
        <w:rPr>
          <w:rFonts w:ascii="KaiTi" w:hAnsi="KaiTi" w:eastAsia="KaiTi" w:cs="KaiTi"/>
          <w:sz w:val="30"/>
          <w:szCs w:val="30"/>
          <w:spacing w:val="1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0"/>
        </w:rPr>
        <w:t>资金，包括一般公共预算财政拨款、政府性基金预算财政</w:t>
      </w:r>
      <w:r>
        <w:rPr>
          <w:rFonts w:ascii="FangSong" w:hAnsi="FangSong" w:eastAsia="FangSong" w:cs="FangSong"/>
          <w:sz w:val="30"/>
          <w:szCs w:val="30"/>
          <w:spacing w:val="1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3"/>
        </w:rPr>
        <w:t>拨款和国有资本经营预算财政拨款。</w:t>
      </w:r>
    </w:p>
    <w:p>
      <w:pPr>
        <w:spacing w:line="316" w:lineRule="auto"/>
        <w:sectPr>
          <w:footerReference w:type="default" r:id="rId9"/>
          <w:pgSz w:w="11910" w:h="16840"/>
          <w:pgMar w:top="1431" w:right="1786" w:bottom="1117" w:left="1786" w:header="0" w:footer="991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pStyle w:val="BodyText"/>
        <w:ind w:left="23" w:right="44" w:firstLine="650"/>
        <w:spacing w:before="155" w:line="298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20"/>
        </w:rPr>
        <w:t>2.</w:t>
      </w:r>
      <w:r>
        <w:rPr>
          <w:rFonts w:ascii="FangSong" w:hAnsi="FangSong" w:eastAsia="FangSong" w:cs="FangSong"/>
          <w:sz w:val="31"/>
          <w:szCs w:val="31"/>
          <w:spacing w:val="20"/>
        </w:rPr>
        <w:t>财政专户管理资金：教育收费作为本部门的事业收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入，纳入财政专户管理的资金。</w:t>
      </w:r>
    </w:p>
    <w:p>
      <w:pPr>
        <w:pStyle w:val="BodyText"/>
        <w:ind w:left="23" w:right="73" w:firstLine="650"/>
        <w:spacing w:before="30" w:line="302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19"/>
        </w:rPr>
        <w:t>3.</w:t>
      </w:r>
      <w:r>
        <w:rPr>
          <w:rFonts w:ascii="FangSong" w:hAnsi="FangSong" w:eastAsia="FangSong" w:cs="FangSong"/>
          <w:sz w:val="31"/>
          <w:szCs w:val="31"/>
          <w:spacing w:val="19"/>
        </w:rPr>
        <w:t>事业收入：事业单位开展专业业务活动及辅助活动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所取得的收入，不含专户资金收入。</w:t>
      </w:r>
    </w:p>
    <w:p>
      <w:pPr>
        <w:pStyle w:val="BodyText"/>
        <w:ind w:left="23" w:right="43" w:firstLine="650"/>
        <w:spacing w:before="21" w:line="303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20"/>
        </w:rPr>
        <w:t>4.</w:t>
      </w:r>
      <w:r>
        <w:rPr>
          <w:rFonts w:ascii="FangSong" w:hAnsi="FangSong" w:eastAsia="FangSong" w:cs="FangSong"/>
          <w:sz w:val="31"/>
          <w:szCs w:val="31"/>
          <w:spacing w:val="20"/>
        </w:rPr>
        <w:t>事业单位经营收入：事业单位在专业业务活动及辅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助活动之外开展非独立核算经营活动取得的收入。</w:t>
      </w:r>
    </w:p>
    <w:p>
      <w:pPr>
        <w:pStyle w:val="BodyText"/>
        <w:ind w:left="23" w:right="30" w:firstLine="650"/>
        <w:spacing w:before="16" w:line="302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17"/>
        </w:rPr>
        <w:t>5.</w:t>
      </w:r>
      <w:r>
        <w:rPr>
          <w:rFonts w:ascii="FangSong" w:hAnsi="FangSong" w:eastAsia="FangSong" w:cs="FangSong"/>
          <w:sz w:val="31"/>
          <w:szCs w:val="31"/>
          <w:spacing w:val="17"/>
        </w:rPr>
        <w:t>其他收入：预算单位在“一般公共预算”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7"/>
        </w:rPr>
        <w:t>“政</w:t>
      </w:r>
      <w:r>
        <w:rPr>
          <w:rFonts w:ascii="FangSong" w:hAnsi="FangSong" w:eastAsia="FangSong" w:cs="FangSong"/>
          <w:sz w:val="31"/>
          <w:szCs w:val="31"/>
          <w:spacing w:val="16"/>
        </w:rPr>
        <w:t>府性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0"/>
        </w:rPr>
        <w:t>基金预算”“国有资本经营预算”“财政专户管理资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金”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“事业收入”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“事业单位经营收入”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“上级补助收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入”和“附属单位上缴收入”等之外取得的各项收入。</w:t>
      </w:r>
    </w:p>
    <w:p>
      <w:pPr>
        <w:pStyle w:val="BodyText"/>
        <w:ind w:left="23" w:right="40" w:firstLine="650"/>
        <w:spacing w:before="57" w:line="299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20"/>
        </w:rPr>
        <w:t>6.</w:t>
      </w:r>
      <w:r>
        <w:rPr>
          <w:rFonts w:ascii="FangSong" w:hAnsi="FangSong" w:eastAsia="FangSong" w:cs="FangSong"/>
          <w:sz w:val="31"/>
          <w:szCs w:val="31"/>
          <w:spacing w:val="20"/>
        </w:rPr>
        <w:t>上年结转结余：包括财政拨款结转结余、财政专户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管理结转结余和单位资金结转结余。</w:t>
      </w:r>
    </w:p>
    <w:p>
      <w:pPr>
        <w:pStyle w:val="BodyText"/>
        <w:ind w:left="23" w:right="43" w:firstLine="650"/>
        <w:spacing w:before="25" w:line="306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20"/>
        </w:rPr>
        <w:t>7.</w:t>
      </w:r>
      <w:r>
        <w:rPr>
          <w:rFonts w:ascii="FangSong" w:hAnsi="FangSong" w:eastAsia="FangSong" w:cs="FangSong"/>
          <w:sz w:val="31"/>
          <w:szCs w:val="31"/>
          <w:spacing w:val="20"/>
        </w:rPr>
        <w:t>基本支出：是预算单位为保障其正常运转，完成日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3"/>
        </w:rPr>
        <w:t>常工作任务所发生的支出，包括人员支出和日常公用支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4"/>
        </w:rPr>
        <w:t>出。</w:t>
      </w:r>
    </w:p>
    <w:p>
      <w:pPr>
        <w:pStyle w:val="BodyText"/>
        <w:ind w:left="23" w:right="39" w:firstLine="650"/>
        <w:spacing w:before="22" w:line="309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20"/>
        </w:rPr>
        <w:t>8.</w:t>
      </w:r>
      <w:r>
        <w:rPr>
          <w:rFonts w:ascii="FangSong" w:hAnsi="FangSong" w:eastAsia="FangSong" w:cs="FangSong"/>
          <w:sz w:val="31"/>
          <w:szCs w:val="31"/>
          <w:spacing w:val="20"/>
        </w:rPr>
        <w:t>项目支出：是预算单位为完成其特定的行政工作任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务或事业发展目标所发生的支出。</w:t>
      </w:r>
    </w:p>
    <w:p>
      <w:pPr>
        <w:ind w:left="23" w:right="21" w:firstLine="650"/>
        <w:spacing w:before="14" w:line="30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9.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“三公”经费：纳入财政预决算管理的“三公”经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3"/>
        </w:rPr>
        <w:t>费，是指部门用一般公共预算财政拨款安排的因公出国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7"/>
        </w:rPr>
        <w:t>(境)费用、公务用车购置及运行费和公务接待费。其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4"/>
        </w:rPr>
        <w:t>中，因公出国(境)费用反映单位公务出国(境)的国际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旅费、国外城市间交通费、住宿费、伙食费、培训费、公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6"/>
        </w:rPr>
        <w:t>杂费等支出，不含教学科研人员学术交流出国(境)费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1"/>
        </w:rPr>
        <w:t>用；公务用车购置及运行费反映单位公务用车车</w:t>
      </w:r>
      <w:r>
        <w:rPr>
          <w:rFonts w:ascii="FangSong" w:hAnsi="FangSong" w:eastAsia="FangSong" w:cs="FangSong"/>
          <w:sz w:val="31"/>
          <w:szCs w:val="31"/>
          <w:spacing w:val="20"/>
        </w:rPr>
        <w:t>辆购置支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1"/>
        </w:rPr>
        <w:t>出(含车辆购置税)及燃料费、新能源汽车充电费、维修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9"/>
        </w:rPr>
        <w:t>费、过桥过路费、保险费、安全奖励费用等支出；公务接</w:t>
      </w:r>
    </w:p>
    <w:p>
      <w:pPr>
        <w:spacing w:line="307" w:lineRule="auto"/>
        <w:sectPr>
          <w:footerReference w:type="default" r:id="rId10"/>
          <w:pgSz w:w="11910" w:h="16840"/>
          <w:pgMar w:top="1431" w:right="1786" w:bottom="1117" w:left="1786" w:header="0" w:footer="991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13" w:right="126"/>
        <w:spacing w:before="146" w:line="359" w:lineRule="auto"/>
        <w:rPr>
          <w:rFonts w:ascii="FangSong" w:hAnsi="FangSong" w:eastAsia="FangSong" w:cs="FangSong"/>
          <w:sz w:val="24"/>
          <w:szCs w:val="24"/>
        </w:rPr>
      </w:pPr>
      <w:bookmarkStart w:name="bookmark32" w:id="58"/>
      <w:bookmarkEnd w:id="58"/>
      <w:r>
        <w:rPr>
          <w:rFonts w:ascii="FangSong" w:hAnsi="FangSong" w:eastAsia="FangSong" w:cs="FangSong"/>
          <w:sz w:val="30"/>
          <w:szCs w:val="30"/>
          <w:spacing w:val="40"/>
        </w:rPr>
        <w:t>待费反映单位按规定开支的各类公务接待(含外</w:t>
      </w:r>
      <w:r>
        <w:rPr>
          <w:rFonts w:ascii="FangSong" w:hAnsi="FangSong" w:eastAsia="FangSong" w:cs="FangSong"/>
          <w:sz w:val="30"/>
          <w:szCs w:val="30"/>
          <w:spacing w:val="39"/>
        </w:rPr>
        <w:t>宾接待)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9"/>
        </w:rPr>
        <w:t>支</w:t>
      </w:r>
      <w:r>
        <w:rPr>
          <w:rFonts w:ascii="FangSong" w:hAnsi="FangSong" w:eastAsia="FangSong" w:cs="FangSong"/>
          <w:sz w:val="24"/>
          <w:szCs w:val="24"/>
          <w:spacing w:val="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9"/>
        </w:rPr>
        <w:t>出</w:t>
      </w:r>
      <w:r>
        <w:rPr>
          <w:rFonts w:ascii="FangSong" w:hAnsi="FangSong" w:eastAsia="FangSong" w:cs="FangSong"/>
          <w:sz w:val="24"/>
          <w:szCs w:val="24"/>
          <w:spacing w:val="-36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9"/>
        </w:rPr>
        <w:t>。</w:t>
      </w:r>
    </w:p>
    <w:p>
      <w:pPr>
        <w:pStyle w:val="BodyText"/>
        <w:ind w:left="13" w:right="42" w:firstLine="670"/>
        <w:spacing w:before="1" w:line="315" w:lineRule="auto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27"/>
        </w:rPr>
        <w:t>10.</w:t>
      </w:r>
      <w:r>
        <w:rPr>
          <w:rFonts w:ascii="FangSong" w:hAnsi="FangSong" w:eastAsia="FangSong" w:cs="FangSong"/>
          <w:sz w:val="30"/>
          <w:szCs w:val="30"/>
          <w:spacing w:val="27"/>
        </w:rPr>
        <w:t>机关运行经费：指保障行政单位(含参照公务员法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3"/>
        </w:rPr>
        <w:t>管理的事业单位)运行用于购买货物和服务的各项资金，</w:t>
      </w:r>
      <w:r>
        <w:rPr>
          <w:rFonts w:ascii="FangSong" w:hAnsi="FangSong" w:eastAsia="FangSong" w:cs="FangSong"/>
          <w:sz w:val="30"/>
          <w:szCs w:val="30"/>
          <w:spacing w:val="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5"/>
        </w:rPr>
        <w:t>包括办公费、印刷费、邮电费、差旅费、会议费、福利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0"/>
        </w:rPr>
        <w:t>费、日常维修费、专用材料费及办公设备购置费、办公用</w:t>
      </w:r>
      <w:r>
        <w:rPr>
          <w:rFonts w:ascii="FangSong" w:hAnsi="FangSong" w:eastAsia="FangSong" w:cs="FangSong"/>
          <w:sz w:val="30"/>
          <w:szCs w:val="30"/>
          <w:spacing w:val="13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1"/>
        </w:rPr>
        <w:t>房水电费、办公用房物业管理费、公务用车运行维护费以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"/>
        </w:rPr>
        <w:t>及其他费用。</w:t>
      </w:r>
    </w:p>
    <w:p>
      <w:pPr>
        <w:pStyle w:val="BodyText"/>
        <w:ind w:left="13" w:right="44" w:firstLine="670"/>
        <w:spacing w:before="38" w:line="318" w:lineRule="auto"/>
        <w:jc w:val="both"/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45"/>
        </w:rPr>
        <w:t>11.</w:t>
      </w:r>
      <w:r>
        <w:rPr>
          <w:rFonts w:ascii="FangSong" w:hAnsi="FangSong" w:eastAsia="FangSong" w:cs="FangSong"/>
          <w:sz w:val="30"/>
          <w:szCs w:val="30"/>
          <w:spacing w:val="45"/>
        </w:rPr>
        <w:t>文化旅游体育与传媒支出(类)广播电视(款)其</w:t>
      </w:r>
      <w:r>
        <w:rPr>
          <w:rFonts w:ascii="FangSong" w:hAnsi="FangSong" w:eastAsia="FangSong" w:cs="FangSong"/>
          <w:sz w:val="30"/>
          <w:szCs w:val="30"/>
          <w:spacing w:val="15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49"/>
        </w:rPr>
        <w:t>他广播电视支出(项):反映除上述项目以外其他用于广</w:t>
      </w:r>
      <w:r>
        <w:rPr>
          <w:rFonts w:ascii="FangSong" w:hAnsi="FangSong" w:eastAsia="FangSong" w:cs="FangSong"/>
          <w:sz w:val="30"/>
          <w:szCs w:val="30"/>
          <w:spacing w:val="2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0"/>
        </w:rPr>
        <w:t>播电视方面的支出。</w:t>
      </w:r>
    </w:p>
    <w:p>
      <w:pPr>
        <w:pStyle w:val="BodyText"/>
        <w:ind w:left="13" w:right="53" w:firstLine="670"/>
        <w:spacing w:before="10" w:line="327" w:lineRule="auto"/>
        <w:rPr>
          <w:rFonts w:ascii="FangSong" w:hAnsi="FangSong" w:eastAsia="FangSong" w:cs="FangSong"/>
          <w:sz w:val="24"/>
          <w:szCs w:val="24"/>
        </w:rPr>
      </w:pPr>
      <w:r>
        <w:rPr>
          <w:sz w:val="30"/>
          <w:szCs w:val="30"/>
          <w:spacing w:val="34"/>
        </w:rPr>
        <w:t>12.</w:t>
      </w:r>
      <w:r>
        <w:rPr>
          <w:rFonts w:ascii="FangSong" w:hAnsi="FangSong" w:eastAsia="FangSong" w:cs="FangSong"/>
          <w:sz w:val="30"/>
          <w:szCs w:val="30"/>
          <w:spacing w:val="34"/>
        </w:rPr>
        <w:t>文化旅游体育与传媒支出(类)其他</w:t>
      </w:r>
      <w:r>
        <w:rPr>
          <w:rFonts w:ascii="FangSong" w:hAnsi="FangSong" w:eastAsia="FangSong" w:cs="FangSong"/>
          <w:sz w:val="30"/>
          <w:szCs w:val="30"/>
          <w:spacing w:val="33"/>
        </w:rPr>
        <w:t>文化旅游体育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54"/>
        </w:rPr>
        <w:t>与传媒支出(款)其他文化旅游体育与传媒支出(项):</w:t>
      </w:r>
      <w:r>
        <w:rPr>
          <w:rFonts w:ascii="FangSong" w:hAnsi="FangSong" w:eastAsia="FangSong" w:cs="FangSong"/>
          <w:sz w:val="30"/>
          <w:szCs w:val="30"/>
          <w:spacing w:val="2"/>
        </w:rPr>
        <w:t xml:space="preserve">  </w:t>
      </w:r>
      <w:r>
        <w:rPr>
          <w:rFonts w:ascii="FangSong" w:hAnsi="FangSong" w:eastAsia="FangSong" w:cs="FangSong"/>
          <w:sz w:val="30"/>
          <w:szCs w:val="30"/>
          <w:spacing w:val="30"/>
        </w:rPr>
        <w:t>反映除上述项目以外其他用于文化旅游体育与传媒方面的</w:t>
      </w:r>
      <w:r>
        <w:rPr>
          <w:rFonts w:ascii="FangSong" w:hAnsi="FangSong" w:eastAsia="FangSong" w:cs="FangSong"/>
          <w:sz w:val="30"/>
          <w:szCs w:val="30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9"/>
        </w:rPr>
        <w:t>支</w:t>
      </w:r>
      <w:r>
        <w:rPr>
          <w:rFonts w:ascii="FangSong" w:hAnsi="FangSong" w:eastAsia="FangSong" w:cs="FangSong"/>
          <w:sz w:val="24"/>
          <w:szCs w:val="24"/>
          <w:spacing w:val="19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9"/>
        </w:rPr>
        <w:t>出</w:t>
      </w:r>
      <w:r>
        <w:rPr>
          <w:rFonts w:ascii="FangSong" w:hAnsi="FangSong" w:eastAsia="FangSong" w:cs="FangSong"/>
          <w:sz w:val="24"/>
          <w:szCs w:val="24"/>
          <w:spacing w:val="-2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9"/>
        </w:rPr>
        <w:t>。</w:t>
      </w:r>
    </w:p>
    <w:p>
      <w:pPr>
        <w:pStyle w:val="BodyText"/>
        <w:ind w:left="13" w:right="44" w:firstLine="670"/>
        <w:spacing w:before="60" w:line="319" w:lineRule="auto"/>
        <w:tabs>
          <w:tab w:val="left" w:pos="172"/>
        </w:tabs>
        <w:rPr>
          <w:rFonts w:ascii="FangSong" w:hAnsi="FangSong" w:eastAsia="FangSong" w:cs="FangSong"/>
          <w:sz w:val="30"/>
          <w:szCs w:val="30"/>
        </w:rPr>
      </w:pPr>
      <w:r>
        <w:rPr>
          <w:sz w:val="30"/>
          <w:szCs w:val="30"/>
          <w:spacing w:val="34"/>
        </w:rPr>
        <w:t>13.</w:t>
      </w:r>
      <w:r>
        <w:rPr>
          <w:rFonts w:ascii="FangSong" w:hAnsi="FangSong" w:eastAsia="FangSong" w:cs="FangSong"/>
          <w:sz w:val="30"/>
          <w:szCs w:val="30"/>
          <w:spacing w:val="34"/>
        </w:rPr>
        <w:t>国有资本经营预算支出(类)国有企业资本金注入</w:t>
      </w:r>
      <w:r>
        <w:rPr>
          <w:rFonts w:ascii="FangSong" w:hAnsi="FangSong" w:eastAsia="FangSong" w:cs="FangSong"/>
          <w:sz w:val="30"/>
          <w:szCs w:val="30"/>
          <w:spacing w:val="7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ab/>
      </w:r>
      <w:r>
        <w:rPr>
          <w:rFonts w:ascii="FangSong" w:hAnsi="FangSong" w:eastAsia="FangSong" w:cs="FangSong"/>
          <w:sz w:val="30"/>
          <w:szCs w:val="30"/>
          <w:spacing w:val="54"/>
        </w:rPr>
        <w:t>(款)其他国有企业资本金注入(项):反映用国有资本</w:t>
      </w:r>
      <w:r>
        <w:rPr>
          <w:rFonts w:ascii="FangSong" w:hAnsi="FangSong" w:eastAsia="FangSong" w:cs="FangSong"/>
          <w:sz w:val="30"/>
          <w:szCs w:val="30"/>
          <w:spacing w:val="1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30"/>
        </w:rPr>
        <w:t>经营预算收入安排的除上述项目以外的其他解决国有企业</w:t>
      </w:r>
      <w:r>
        <w:rPr>
          <w:rFonts w:ascii="FangSong" w:hAnsi="FangSong" w:eastAsia="FangSong" w:cs="FangSong"/>
          <w:sz w:val="30"/>
          <w:szCs w:val="30"/>
          <w:spacing w:val="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7"/>
        </w:rPr>
        <w:t>资本金注入支出。</w:t>
      </w:r>
    </w:p>
    <w:p>
      <w:pPr>
        <w:spacing w:line="319" w:lineRule="auto"/>
        <w:sectPr>
          <w:footerReference w:type="default" r:id="rId11"/>
          <w:pgSz w:w="11910" w:h="16840"/>
          <w:pgMar w:top="1431" w:right="1786" w:bottom="1103" w:left="1786" w:header="0" w:footer="995" w:gutter="0"/>
        </w:sectPr>
        <w:rPr>
          <w:rFonts w:ascii="FangSong" w:hAnsi="FangSong" w:eastAsia="FangSong" w:cs="FangSong"/>
          <w:sz w:val="30"/>
          <w:szCs w:val="30"/>
        </w:rPr>
      </w:pPr>
    </w:p>
    <w:p>
      <w:pPr>
        <w:ind w:left="1729"/>
        <w:spacing w:before="64" w:line="222" w:lineRule="auto"/>
        <w:outlineLvl w:val="0"/>
        <w:rPr>
          <w:rFonts w:ascii="SimHei" w:hAnsi="SimHei" w:eastAsia="SimHei" w:cs="SimHei"/>
          <w:sz w:val="32"/>
          <w:szCs w:val="32"/>
        </w:rPr>
      </w:pPr>
      <w:bookmarkStart w:name="bookmark16" w:id="59"/>
      <w:bookmarkEnd w:id="59"/>
      <w:r>
        <w:rPr>
          <w:rFonts w:ascii="SimHei" w:hAnsi="SimHei" w:eastAsia="SimHei" w:cs="SimHei"/>
          <w:sz w:val="32"/>
          <w:szCs w:val="32"/>
          <w:b/>
          <w:bCs/>
          <w:spacing w:val="-1"/>
        </w:rPr>
        <w:t>四、2025年部门预算公开表</w:t>
      </w:r>
    </w:p>
    <w:p>
      <w:pPr>
        <w:spacing w:before="155" w:line="222" w:lineRule="auto"/>
        <w:jc w:val="right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14"/>
        </w:rPr>
        <w:t>公开表1</w:t>
      </w:r>
    </w:p>
    <w:p>
      <w:pPr>
        <w:ind w:left="2871"/>
        <w:spacing w:before="105" w:line="222" w:lineRule="auto"/>
        <w:outlineLvl w:val="1"/>
        <w:rPr>
          <w:rFonts w:ascii="FangSong" w:hAnsi="FangSong" w:eastAsia="FangSong" w:cs="FangSong"/>
          <w:sz w:val="43"/>
          <w:szCs w:val="43"/>
        </w:rPr>
      </w:pPr>
      <w:bookmarkStart w:name="bookmark33" w:id="60"/>
      <w:bookmarkEnd w:id="60"/>
      <w:bookmarkStart w:name="bookmark17" w:id="61"/>
      <w:bookmarkEnd w:id="61"/>
      <w:r>
        <w:rPr>
          <w:rFonts w:ascii="FangSong" w:hAnsi="FangSong" w:eastAsia="FangSong" w:cs="FangSong"/>
          <w:sz w:val="43"/>
          <w:szCs w:val="43"/>
          <w:b/>
          <w:bCs/>
          <w:spacing w:val="-2"/>
        </w:rPr>
        <w:t>2025年部门收支预算总表</w:t>
      </w:r>
    </w:p>
    <w:p>
      <w:pPr>
        <w:pStyle w:val="BodyText"/>
        <w:ind w:left="155"/>
        <w:spacing w:before="66" w:line="225" w:lineRule="auto"/>
        <w:rPr>
          <w:sz w:val="21"/>
          <w:szCs w:val="21"/>
        </w:rPr>
      </w:pPr>
      <w:r>
        <w:rPr>
          <w:sz w:val="21"/>
          <w:szCs w:val="21"/>
          <w:spacing w:val="1"/>
        </w:rPr>
        <w:t>部门名称：台州市新闻传媒中心                      </w:t>
      </w:r>
      <w:r>
        <w:rPr>
          <w:sz w:val="21"/>
          <w:szCs w:val="21"/>
        </w:rPr>
        <w:t xml:space="preserve">                                     单位：万元</w:t>
      </w:r>
    </w:p>
    <w:tbl>
      <w:tblPr>
        <w:tblStyle w:val="TableNormal"/>
        <w:tblW w:w="104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592"/>
        <w:gridCol w:w="1698"/>
        <w:gridCol w:w="3826"/>
        <w:gridCol w:w="1324"/>
      </w:tblGrid>
      <w:tr>
        <w:trPr>
          <w:trHeight w:val="304" w:hRule="atLeast"/>
        </w:trPr>
        <w:tc>
          <w:tcPr>
            <w:tcW w:w="5290" w:type="dxa"/>
            <w:vAlign w:val="top"/>
            <w:gridSpan w:val="2"/>
          </w:tcPr>
          <w:p>
            <w:pPr>
              <w:pStyle w:val="TableText"/>
              <w:ind w:left="1425"/>
              <w:spacing w:before="43" w:line="203" w:lineRule="auto"/>
              <w:rPr/>
            </w:pPr>
            <w:r>
              <w:rPr>
                <w:spacing w:val="-8"/>
                <w:position w:val="1"/>
              </w:rPr>
              <w:t>收</w:t>
            </w:r>
            <w:r>
              <w:rPr>
                <w:spacing w:val="1"/>
                <w:position w:val="1"/>
              </w:rPr>
              <w:t xml:space="preserve">                   </w:t>
            </w:r>
            <w:r>
              <w:rPr>
                <w:spacing w:val="-8"/>
                <w:position w:val="-1"/>
              </w:rPr>
              <w:t>入</w:t>
            </w:r>
          </w:p>
        </w:tc>
        <w:tc>
          <w:tcPr>
            <w:tcW w:w="5150" w:type="dxa"/>
            <w:vAlign w:val="top"/>
            <w:gridSpan w:val="2"/>
          </w:tcPr>
          <w:p>
            <w:pPr>
              <w:pStyle w:val="TableText"/>
              <w:ind w:left="1355"/>
              <w:spacing w:before="47" w:line="217" w:lineRule="auto"/>
              <w:rPr/>
            </w:pPr>
            <w:r>
              <w:rPr>
                <w:spacing w:val="-5"/>
              </w:rPr>
              <w:t>支</w:t>
            </w:r>
            <w:r>
              <w:rPr>
                <w:spacing w:val="1"/>
              </w:rPr>
              <w:t xml:space="preserve">                   </w:t>
            </w:r>
            <w:r>
              <w:rPr>
                <w:spacing w:val="-5"/>
              </w:rPr>
              <w:t>出</w:t>
            </w:r>
          </w:p>
        </w:tc>
      </w:tr>
      <w:tr>
        <w:trPr>
          <w:trHeight w:val="310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235"/>
              <w:spacing w:before="63" w:line="208" w:lineRule="auto"/>
              <w:rPr/>
            </w:pPr>
            <w:r>
              <w:rPr>
                <w:spacing w:val="-3"/>
              </w:rPr>
              <w:t>项       目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553"/>
              <w:spacing w:before="49" w:line="219" w:lineRule="auto"/>
              <w:rPr/>
            </w:pPr>
            <w:r>
              <w:rPr>
                <w:spacing w:val="-3"/>
              </w:rPr>
              <w:t>预算数</w:t>
            </w:r>
          </w:p>
        </w:tc>
        <w:tc>
          <w:tcPr>
            <w:tcW w:w="3826" w:type="dxa"/>
            <w:vAlign w:val="top"/>
          </w:tcPr>
          <w:p>
            <w:pPr>
              <w:pStyle w:val="TableText"/>
              <w:ind w:left="1495"/>
              <w:spacing w:before="49" w:line="220" w:lineRule="auto"/>
              <w:rPr/>
            </w:pPr>
            <w:r>
              <w:rPr>
                <w:spacing w:val="-4"/>
              </w:rPr>
              <w:t>项    目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379"/>
              <w:spacing w:before="49" w:line="219" w:lineRule="auto"/>
              <w:rPr/>
            </w:pPr>
            <w:r>
              <w:rPr>
                <w:spacing w:val="-3"/>
              </w:rPr>
              <w:t>预算数</w:t>
            </w:r>
          </w:p>
        </w:tc>
      </w:tr>
      <w:tr>
        <w:trPr>
          <w:trHeight w:val="309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15"/>
              <w:spacing w:before="49" w:line="219" w:lineRule="auto"/>
              <w:rPr/>
            </w:pPr>
            <w:r>
              <w:rPr>
                <w:spacing w:val="-1"/>
              </w:rPr>
              <w:t>一、财政拨款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972"/>
              <w:spacing w:before="103" w:line="172" w:lineRule="auto"/>
              <w:rPr/>
            </w:pPr>
            <w:r>
              <w:rPr>
                <w:spacing w:val="-2"/>
              </w:rPr>
              <w:t>995.00</w:t>
            </w:r>
          </w:p>
        </w:tc>
        <w:tc>
          <w:tcPr>
            <w:tcW w:w="3826" w:type="dxa"/>
            <w:vAlign w:val="top"/>
          </w:tcPr>
          <w:p>
            <w:pPr>
              <w:pStyle w:val="TableText"/>
              <w:ind w:left="315"/>
              <w:spacing w:before="48" w:line="219" w:lineRule="auto"/>
              <w:rPr/>
            </w:pPr>
            <w:r>
              <w:rPr>
                <w:spacing w:val="2"/>
              </w:rPr>
              <w:t>文化旅游体育与传媒支出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409"/>
              <w:spacing w:before="78" w:line="184" w:lineRule="auto"/>
              <w:rPr/>
            </w:pPr>
            <w:r>
              <w:rPr>
                <w:spacing w:val="-3"/>
              </w:rPr>
              <w:t>1,235.23</w:t>
            </w:r>
          </w:p>
        </w:tc>
      </w:tr>
      <w:tr>
        <w:trPr>
          <w:trHeight w:val="319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915"/>
              <w:spacing w:before="61" w:line="218" w:lineRule="auto"/>
              <w:rPr/>
            </w:pPr>
            <w:r>
              <w:rPr>
                <w:spacing w:val="1"/>
              </w:rPr>
              <w:t>一般公共预算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972"/>
              <w:spacing w:before="114" w:line="171" w:lineRule="auto"/>
              <w:rPr/>
            </w:pPr>
            <w:r>
              <w:rPr>
                <w:spacing w:val="-2"/>
              </w:rPr>
              <w:t>930.00</w:t>
            </w:r>
          </w:p>
        </w:tc>
        <w:tc>
          <w:tcPr>
            <w:tcW w:w="3826" w:type="dxa"/>
            <w:vAlign w:val="top"/>
          </w:tcPr>
          <w:p>
            <w:pPr>
              <w:pStyle w:val="TableText"/>
              <w:ind w:left="315"/>
              <w:spacing w:before="61" w:line="218" w:lineRule="auto"/>
              <w:rPr/>
            </w:pPr>
            <w:r>
              <w:rPr>
                <w:spacing w:val="-2"/>
              </w:rPr>
              <w:t>广播电视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409"/>
              <w:spacing w:before="89" w:line="184" w:lineRule="auto"/>
              <w:rPr/>
            </w:pPr>
            <w:r>
              <w:rPr>
                <w:spacing w:val="-3"/>
              </w:rPr>
              <w:t>1,008.00</w:t>
            </w:r>
          </w:p>
        </w:tc>
      </w:tr>
      <w:tr>
        <w:trPr>
          <w:trHeight w:val="310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925"/>
              <w:spacing w:before="50" w:line="219" w:lineRule="auto"/>
              <w:rPr/>
            </w:pPr>
            <w:r>
              <w:rPr>
                <w:spacing w:val="-1"/>
              </w:rPr>
              <w:t>政府性基金预算</w:t>
            </w:r>
          </w:p>
        </w:tc>
        <w:tc>
          <w:tcPr>
            <w:tcW w:w="1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6" w:type="dxa"/>
            <w:vAlign w:val="top"/>
          </w:tcPr>
          <w:p>
            <w:pPr>
              <w:pStyle w:val="TableText"/>
              <w:ind w:left="525"/>
              <w:spacing w:before="50" w:line="219" w:lineRule="auto"/>
              <w:rPr/>
            </w:pPr>
            <w:r>
              <w:rPr>
                <w:spacing w:val="3"/>
              </w:rPr>
              <w:t>其他广播电视支出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409"/>
              <w:spacing w:before="80" w:line="184" w:lineRule="auto"/>
              <w:rPr/>
            </w:pPr>
            <w:r>
              <w:rPr>
                <w:spacing w:val="-3"/>
              </w:rPr>
              <w:t>1,008.00</w:t>
            </w:r>
          </w:p>
        </w:tc>
      </w:tr>
      <w:tr>
        <w:trPr>
          <w:trHeight w:val="309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925"/>
              <w:spacing w:before="51" w:line="218" w:lineRule="auto"/>
              <w:rPr/>
            </w:pPr>
            <w:r>
              <w:rPr>
                <w:spacing w:val="1"/>
              </w:rPr>
              <w:t>国有资本经营预算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1073"/>
              <w:spacing w:before="105" w:line="170" w:lineRule="auto"/>
              <w:rPr/>
            </w:pPr>
            <w:r>
              <w:rPr>
                <w:spacing w:val="-2"/>
              </w:rPr>
              <w:t>65.00</w:t>
            </w:r>
          </w:p>
        </w:tc>
        <w:tc>
          <w:tcPr>
            <w:tcW w:w="3826" w:type="dxa"/>
            <w:vAlign w:val="top"/>
          </w:tcPr>
          <w:p>
            <w:pPr>
              <w:pStyle w:val="TableText"/>
              <w:ind w:left="315"/>
              <w:spacing w:before="51" w:line="218" w:lineRule="auto"/>
              <w:rPr/>
            </w:pPr>
            <w:r>
              <w:rPr>
                <w:spacing w:val="1"/>
              </w:rPr>
              <w:t>其他文化旅游体育与传媒支出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618"/>
              <w:spacing w:before="105" w:line="170" w:lineRule="auto"/>
              <w:rPr/>
            </w:pPr>
            <w:r>
              <w:rPr>
                <w:spacing w:val="-2"/>
              </w:rPr>
              <w:t>227.23</w:t>
            </w:r>
          </w:p>
        </w:tc>
      </w:tr>
      <w:tr>
        <w:trPr>
          <w:trHeight w:val="319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15"/>
              <w:spacing w:before="62" w:line="217" w:lineRule="auto"/>
              <w:rPr/>
            </w:pPr>
            <w:r>
              <w:rPr/>
              <w:t>二、财政专户管理资金</w:t>
            </w:r>
          </w:p>
        </w:tc>
        <w:tc>
          <w:tcPr>
            <w:tcW w:w="1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6" w:type="dxa"/>
            <w:vAlign w:val="top"/>
          </w:tcPr>
          <w:p>
            <w:pPr>
              <w:pStyle w:val="TableText"/>
              <w:ind w:left="535"/>
              <w:spacing w:before="62" w:line="217" w:lineRule="auto"/>
              <w:rPr/>
            </w:pPr>
            <w:r>
              <w:rPr>
                <w:spacing w:val="1"/>
              </w:rPr>
              <w:t>其他文化旅游体育与传媒支出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618"/>
              <w:spacing w:before="116" w:line="169" w:lineRule="auto"/>
              <w:rPr/>
            </w:pPr>
            <w:r>
              <w:rPr>
                <w:spacing w:val="-2"/>
              </w:rPr>
              <w:t>227.23</w:t>
            </w:r>
          </w:p>
        </w:tc>
      </w:tr>
      <w:tr>
        <w:trPr>
          <w:trHeight w:val="310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15"/>
              <w:spacing w:before="53" w:line="217" w:lineRule="auto"/>
              <w:rPr/>
            </w:pPr>
            <w:r>
              <w:rPr>
                <w:spacing w:val="-2"/>
              </w:rPr>
              <w:t>三、事业收入</w:t>
            </w:r>
          </w:p>
        </w:tc>
        <w:tc>
          <w:tcPr>
            <w:tcW w:w="1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6" w:type="dxa"/>
            <w:vAlign w:val="top"/>
          </w:tcPr>
          <w:p>
            <w:pPr>
              <w:pStyle w:val="TableText"/>
              <w:ind w:left="315"/>
              <w:spacing w:before="53" w:line="217" w:lineRule="auto"/>
              <w:rPr/>
            </w:pPr>
            <w:r>
              <w:rPr>
                <w:spacing w:val="2"/>
              </w:rPr>
              <w:t>国有资本经营预算支出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719"/>
              <w:spacing w:before="107" w:line="169" w:lineRule="auto"/>
              <w:rPr/>
            </w:pPr>
            <w:r>
              <w:rPr>
                <w:spacing w:val="-2"/>
              </w:rPr>
              <w:t>65.00</w:t>
            </w:r>
          </w:p>
        </w:tc>
      </w:tr>
      <w:tr>
        <w:trPr>
          <w:trHeight w:val="309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15"/>
              <w:spacing w:before="53" w:line="216" w:lineRule="auto"/>
              <w:rPr/>
            </w:pPr>
            <w:r>
              <w:rPr/>
              <w:t>四、事业单位经营收入</w:t>
            </w:r>
          </w:p>
        </w:tc>
        <w:tc>
          <w:tcPr>
            <w:tcW w:w="1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6" w:type="dxa"/>
            <w:vAlign w:val="top"/>
          </w:tcPr>
          <w:p>
            <w:pPr>
              <w:pStyle w:val="TableText"/>
              <w:ind w:left="315"/>
              <w:spacing w:before="53" w:line="216" w:lineRule="auto"/>
              <w:rPr/>
            </w:pPr>
            <w:r>
              <w:rPr/>
              <w:t>国有企业资本金注入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719"/>
              <w:spacing w:before="107" w:line="168" w:lineRule="auto"/>
              <w:rPr/>
            </w:pPr>
            <w:r>
              <w:rPr>
                <w:spacing w:val="-2"/>
              </w:rPr>
              <w:t>65.00</w:t>
            </w:r>
          </w:p>
        </w:tc>
      </w:tr>
      <w:tr>
        <w:trPr>
          <w:trHeight w:val="300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15"/>
              <w:spacing w:before="54" w:line="207" w:lineRule="auto"/>
              <w:rPr/>
            </w:pPr>
            <w:r>
              <w:rPr>
                <w:spacing w:val="1"/>
              </w:rPr>
              <w:t>五、上级补助收入</w:t>
            </w:r>
          </w:p>
        </w:tc>
        <w:tc>
          <w:tcPr>
            <w:tcW w:w="1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6" w:type="dxa"/>
            <w:vAlign w:val="top"/>
          </w:tcPr>
          <w:p>
            <w:pPr>
              <w:pStyle w:val="TableText"/>
              <w:ind w:left="315"/>
              <w:spacing w:before="53" w:line="208" w:lineRule="auto"/>
              <w:rPr/>
            </w:pPr>
            <w:r>
              <w:rPr>
                <w:spacing w:val="-1"/>
              </w:rPr>
              <w:t>其他国有企业资本金注入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719"/>
              <w:spacing w:before="109" w:line="159" w:lineRule="auto"/>
              <w:rPr/>
            </w:pPr>
            <w:r>
              <w:rPr>
                <w:spacing w:val="-2"/>
              </w:rPr>
              <w:t>65.00</w:t>
            </w:r>
          </w:p>
        </w:tc>
      </w:tr>
      <w:tr>
        <w:trPr>
          <w:trHeight w:val="329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15"/>
              <w:spacing w:before="63" w:line="219" w:lineRule="auto"/>
              <w:rPr/>
            </w:pPr>
            <w:r>
              <w:rPr>
                <w:spacing w:val="-1"/>
              </w:rPr>
              <w:t>六、附属单位上缴收入</w:t>
            </w:r>
          </w:p>
        </w:tc>
        <w:tc>
          <w:tcPr>
            <w:tcW w:w="1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15"/>
              <w:spacing w:before="55" w:line="214" w:lineRule="auto"/>
              <w:rPr/>
            </w:pPr>
            <w:r>
              <w:rPr>
                <w:spacing w:val="-2"/>
              </w:rPr>
              <w:t>七、其他收入</w:t>
            </w:r>
          </w:p>
        </w:tc>
        <w:tc>
          <w:tcPr>
            <w:tcW w:w="16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15"/>
              <w:spacing w:before="55" w:line="206" w:lineRule="auto"/>
              <w:rPr/>
            </w:pPr>
            <w:r>
              <w:rPr>
                <w:spacing w:val="-2"/>
              </w:rPr>
              <w:t>本年收入合计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972"/>
              <w:spacing w:before="111" w:line="157" w:lineRule="auto"/>
              <w:rPr/>
            </w:pPr>
            <w:r>
              <w:rPr>
                <w:spacing w:val="-2"/>
              </w:rPr>
              <w:t>995.00</w:t>
            </w:r>
          </w:p>
        </w:tc>
        <w:tc>
          <w:tcPr>
            <w:tcW w:w="3826" w:type="dxa"/>
            <w:vAlign w:val="top"/>
          </w:tcPr>
          <w:p>
            <w:pPr>
              <w:pStyle w:val="TableText"/>
              <w:ind w:left="315"/>
              <w:spacing w:before="55" w:line="206" w:lineRule="auto"/>
              <w:rPr/>
            </w:pPr>
            <w:r>
              <w:rPr>
                <w:spacing w:val="-2"/>
              </w:rPr>
              <w:t>本年支出合计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409"/>
              <w:spacing w:before="85" w:line="180" w:lineRule="auto"/>
              <w:rPr/>
            </w:pPr>
            <w:r>
              <w:rPr>
                <w:spacing w:val="-3"/>
              </w:rPr>
              <w:t>1,300.23</w:t>
            </w:r>
          </w:p>
        </w:tc>
      </w:tr>
      <w:tr>
        <w:trPr>
          <w:trHeight w:val="309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15"/>
              <w:spacing w:before="56" w:line="213" w:lineRule="auto"/>
              <w:rPr/>
            </w:pPr>
            <w:r>
              <w:rPr>
                <w:spacing w:val="-2"/>
              </w:rPr>
              <w:t>上年结转结余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972"/>
              <w:spacing w:before="111" w:line="165" w:lineRule="auto"/>
              <w:rPr/>
            </w:pPr>
            <w:r>
              <w:rPr>
                <w:spacing w:val="-2"/>
              </w:rPr>
              <w:t>305.23</w:t>
            </w:r>
          </w:p>
        </w:tc>
        <w:tc>
          <w:tcPr>
            <w:tcW w:w="3826" w:type="dxa"/>
            <w:vAlign w:val="top"/>
          </w:tcPr>
          <w:p>
            <w:pPr>
              <w:pStyle w:val="TableText"/>
              <w:ind w:left="315"/>
              <w:spacing w:before="56" w:line="213" w:lineRule="auto"/>
              <w:rPr/>
            </w:pPr>
            <w:r>
              <w:rPr>
                <w:spacing w:val="-2"/>
              </w:rPr>
              <w:t>年终结转结余</w:t>
            </w:r>
          </w:p>
        </w:tc>
        <w:tc>
          <w:tcPr>
            <w:tcW w:w="13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3592" w:type="dxa"/>
            <w:vAlign w:val="top"/>
          </w:tcPr>
          <w:p>
            <w:pPr>
              <w:pStyle w:val="TableText"/>
              <w:ind w:left="115"/>
              <w:spacing w:before="67" w:line="217" w:lineRule="auto"/>
              <w:rPr/>
            </w:pPr>
            <w:r>
              <w:rPr>
                <w:spacing w:val="-10"/>
              </w:rPr>
              <w:t>收</w:t>
            </w:r>
            <w:r>
              <w:rPr>
                <w:spacing w:val="29"/>
              </w:rPr>
              <w:t xml:space="preserve"> </w:t>
            </w:r>
            <w:r>
              <w:rPr>
                <w:spacing w:val="-10"/>
              </w:rPr>
              <w:t>入</w:t>
            </w:r>
            <w:r>
              <w:rPr>
                <w:spacing w:val="34"/>
              </w:rPr>
              <w:t xml:space="preserve"> </w:t>
            </w:r>
            <w:r>
              <w:rPr>
                <w:spacing w:val="-10"/>
              </w:rPr>
              <w:t>总</w:t>
            </w:r>
            <w:r>
              <w:rPr>
                <w:spacing w:val="16"/>
              </w:rPr>
              <w:t xml:space="preserve">   </w:t>
            </w:r>
            <w:r>
              <w:rPr>
                <w:spacing w:val="-10"/>
              </w:rPr>
              <w:t>计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ind w:left="763"/>
              <w:spacing w:before="96" w:line="184" w:lineRule="auto"/>
              <w:rPr/>
            </w:pPr>
            <w:r>
              <w:rPr>
                <w:spacing w:val="-3"/>
              </w:rPr>
              <w:t>1,300.23</w:t>
            </w:r>
          </w:p>
        </w:tc>
        <w:tc>
          <w:tcPr>
            <w:tcW w:w="3826" w:type="dxa"/>
            <w:vAlign w:val="top"/>
          </w:tcPr>
          <w:p>
            <w:pPr>
              <w:pStyle w:val="TableText"/>
              <w:ind w:left="315"/>
              <w:spacing w:before="68" w:line="216" w:lineRule="auto"/>
              <w:rPr/>
            </w:pPr>
            <w:r>
              <w:rPr>
                <w:spacing w:val="-13"/>
              </w:rPr>
              <w:t>支</w:t>
            </w:r>
            <w:r>
              <w:rPr>
                <w:spacing w:val="33"/>
              </w:rPr>
              <w:t xml:space="preserve"> </w:t>
            </w:r>
            <w:r>
              <w:rPr>
                <w:spacing w:val="-13"/>
              </w:rPr>
              <w:t>出</w:t>
            </w:r>
            <w:r>
              <w:rPr>
                <w:spacing w:val="11"/>
              </w:rPr>
              <w:t xml:space="preserve">  </w:t>
            </w:r>
            <w:r>
              <w:rPr>
                <w:spacing w:val="-13"/>
              </w:rPr>
              <w:t>总</w:t>
            </w:r>
            <w:r>
              <w:rPr>
                <w:spacing w:val="9"/>
              </w:rPr>
              <w:t xml:space="preserve">  </w:t>
            </w:r>
            <w:r>
              <w:rPr>
                <w:spacing w:val="-13"/>
              </w:rPr>
              <w:t>计</w:t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ind w:left="409"/>
              <w:spacing w:before="96" w:line="184" w:lineRule="auto"/>
              <w:rPr/>
            </w:pPr>
            <w:r>
              <w:rPr>
                <w:spacing w:val="-3"/>
              </w:rPr>
              <w:t>1,300.23</w:t>
            </w:r>
          </w:p>
        </w:tc>
      </w:tr>
    </w:tbl>
    <w:p>
      <w:pPr>
        <w:pStyle w:val="BodyText"/>
        <w:ind w:left="25"/>
        <w:spacing w:before="72" w:line="219" w:lineRule="auto"/>
        <w:rPr>
          <w:sz w:val="21"/>
          <w:szCs w:val="21"/>
        </w:rPr>
      </w:pPr>
      <w:r>
        <w:rPr>
          <w:sz w:val="21"/>
          <w:szCs w:val="21"/>
        </w:rPr>
        <w:t>注：本套报表若明细数加计之和与合计数有尾差，系套表金额转换时四舍五入造成，</w:t>
      </w:r>
      <w:r>
        <w:rPr>
          <w:sz w:val="21"/>
          <w:szCs w:val="21"/>
          <w:spacing w:val="-1"/>
        </w:rPr>
        <w:t>不另行调整。</w:t>
      </w:r>
    </w:p>
    <w:p>
      <w:pPr>
        <w:spacing w:line="219" w:lineRule="auto"/>
        <w:sectPr>
          <w:footerReference w:type="default" r:id="rId12"/>
          <w:pgSz w:w="11910" w:h="16840"/>
          <w:pgMar w:top="792" w:right="717" w:bottom="1116" w:left="704" w:header="0" w:footer="989" w:gutter="0"/>
        </w:sectPr>
        <w:rPr>
          <w:sz w:val="21"/>
          <w:szCs w:val="21"/>
        </w:rPr>
      </w:pPr>
    </w:p>
    <w:p>
      <w:pPr>
        <w:spacing w:before="43" w:line="222" w:lineRule="auto"/>
        <w:jc w:val="right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12"/>
        </w:rPr>
        <w:t>公开表2</w:t>
      </w:r>
    </w:p>
    <w:p>
      <w:pPr>
        <w:ind w:left="5861"/>
        <w:spacing w:before="125" w:line="222" w:lineRule="auto"/>
        <w:outlineLvl w:val="1"/>
        <w:rPr>
          <w:rFonts w:ascii="FangSong" w:hAnsi="FangSong" w:eastAsia="FangSong" w:cs="FangSong"/>
          <w:sz w:val="43"/>
          <w:szCs w:val="43"/>
        </w:rPr>
      </w:pPr>
      <w:bookmarkStart w:name="bookmark34" w:id="62"/>
      <w:bookmarkEnd w:id="62"/>
      <w:bookmarkStart w:name="bookmark18" w:id="63"/>
      <w:bookmarkEnd w:id="63"/>
      <w:r>
        <w:rPr>
          <w:rFonts w:ascii="FangSong" w:hAnsi="FangSong" w:eastAsia="FangSong" w:cs="FangSong"/>
          <w:sz w:val="43"/>
          <w:szCs w:val="43"/>
          <w:b/>
          <w:bCs/>
          <w:spacing w:val="-1"/>
        </w:rPr>
        <w:t>2025年部门收入预算总表</w:t>
      </w:r>
    </w:p>
    <w:p>
      <w:pPr>
        <w:pStyle w:val="BodyText"/>
        <w:ind w:left="124"/>
        <w:spacing w:before="84" w:line="209" w:lineRule="auto"/>
        <w:rPr>
          <w:sz w:val="21"/>
          <w:szCs w:val="21"/>
        </w:rPr>
      </w:pPr>
      <w:r>
        <w:rPr>
          <w:sz w:val="21"/>
          <w:szCs w:val="21"/>
          <w:spacing w:val="1"/>
        </w:rPr>
        <w:t>部门名称：台州市新闻传媒中心                                                         </w:t>
      </w:r>
      <w:r>
        <w:rPr>
          <w:sz w:val="21"/>
          <w:szCs w:val="21"/>
        </w:rPr>
        <w:t xml:space="preserve">                                                           单位：万元</w:t>
      </w:r>
    </w:p>
    <w:tbl>
      <w:tblPr>
        <w:tblStyle w:val="TableNormal"/>
        <w:tblW w:w="1644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14"/>
        <w:gridCol w:w="1189"/>
        <w:gridCol w:w="1189"/>
        <w:gridCol w:w="1049"/>
        <w:gridCol w:w="989"/>
        <w:gridCol w:w="760"/>
        <w:gridCol w:w="820"/>
        <w:gridCol w:w="760"/>
        <w:gridCol w:w="829"/>
        <w:gridCol w:w="760"/>
        <w:gridCol w:w="859"/>
        <w:gridCol w:w="820"/>
        <w:gridCol w:w="959"/>
        <w:gridCol w:w="859"/>
        <w:gridCol w:w="820"/>
        <w:gridCol w:w="889"/>
        <w:gridCol w:w="829"/>
        <w:gridCol w:w="855"/>
      </w:tblGrid>
      <w:tr>
        <w:trPr>
          <w:trHeight w:val="314" w:hRule="atLeast"/>
        </w:trPr>
        <w:tc>
          <w:tcPr>
            <w:tcW w:w="1214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52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单位名称</w:t>
            </w:r>
          </w:p>
        </w:tc>
        <w:tc>
          <w:tcPr>
            <w:tcW w:w="1189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0"/>
              <w:spacing w:before="52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总计</w:t>
            </w:r>
          </w:p>
        </w:tc>
        <w:tc>
          <w:tcPr>
            <w:tcW w:w="8835" w:type="dxa"/>
            <w:vAlign w:val="top"/>
            <w:gridSpan w:val="10"/>
          </w:tcPr>
          <w:p>
            <w:pPr>
              <w:pStyle w:val="TableText"/>
              <w:ind w:left="4102"/>
              <w:spacing w:before="80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本年收入</w:t>
            </w:r>
          </w:p>
        </w:tc>
        <w:tc>
          <w:tcPr>
            <w:tcW w:w="5211" w:type="dxa"/>
            <w:vAlign w:val="top"/>
            <w:gridSpan w:val="6"/>
          </w:tcPr>
          <w:p>
            <w:pPr>
              <w:pStyle w:val="TableText"/>
              <w:ind w:left="2156"/>
              <w:spacing w:before="81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上年结转结余</w:t>
            </w:r>
          </w:p>
        </w:tc>
      </w:tr>
      <w:tr>
        <w:trPr>
          <w:trHeight w:val="947" w:hRule="atLeast"/>
        </w:trPr>
        <w:tc>
          <w:tcPr>
            <w:tcW w:w="121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52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小计</w:t>
            </w:r>
          </w:p>
        </w:tc>
        <w:tc>
          <w:tcPr>
            <w:tcW w:w="1049" w:type="dxa"/>
            <w:vAlign w:val="top"/>
          </w:tcPr>
          <w:p>
            <w:pPr>
              <w:pStyle w:val="TableText"/>
              <w:ind w:left="381" w:right="184" w:hanging="159"/>
              <w:spacing w:before="227" w:line="3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一般公共</w:t>
            </w:r>
            <w:r>
              <w:rPr>
                <w:sz w:val="16"/>
                <w:szCs w:val="16"/>
                <w:spacing w:val="2"/>
              </w:rPr>
              <w:t xml:space="preserve"> </w:t>
            </w:r>
            <w:r>
              <w:rPr>
                <w:sz w:val="16"/>
                <w:szCs w:val="16"/>
                <w:spacing w:val="-2"/>
              </w:rPr>
              <w:t>预算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164"/>
              <w:spacing w:before="236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政府性基</w:t>
            </w:r>
          </w:p>
          <w:p>
            <w:pPr>
              <w:pStyle w:val="TableText"/>
              <w:ind w:left="243"/>
              <w:spacing w:before="121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金预算</w:t>
            </w:r>
          </w:p>
        </w:tc>
        <w:tc>
          <w:tcPr>
            <w:tcW w:w="760" w:type="dxa"/>
            <w:vAlign w:val="top"/>
          </w:tcPr>
          <w:p>
            <w:pPr>
              <w:pStyle w:val="TableText"/>
              <w:ind w:left="135"/>
              <w:spacing w:before="78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3"/>
              </w:rPr>
              <w:t>国有资</w:t>
            </w:r>
          </w:p>
          <w:p>
            <w:pPr>
              <w:pStyle w:val="TableText"/>
              <w:ind w:left="135"/>
              <w:spacing w:before="117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本经营</w:t>
            </w:r>
          </w:p>
          <w:p>
            <w:pPr>
              <w:pStyle w:val="TableText"/>
              <w:ind w:left="215"/>
              <w:spacing w:before="121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预算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65"/>
              <w:spacing w:before="78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财政专</w:t>
            </w:r>
          </w:p>
          <w:p>
            <w:pPr>
              <w:pStyle w:val="TableText"/>
              <w:ind w:left="165"/>
              <w:spacing w:before="138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户管理</w:t>
            </w:r>
          </w:p>
          <w:p>
            <w:pPr>
              <w:pStyle w:val="TableText"/>
              <w:ind w:left="245"/>
              <w:spacing w:before="101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4"/>
              </w:rPr>
              <w:t>资金</w:t>
            </w:r>
          </w:p>
        </w:tc>
        <w:tc>
          <w:tcPr>
            <w:tcW w:w="760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事业收入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64"/>
              <w:spacing w:before="78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事业单</w:t>
            </w:r>
          </w:p>
          <w:p>
            <w:pPr>
              <w:pStyle w:val="TableText"/>
              <w:ind w:left="164"/>
              <w:spacing w:before="119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位经营</w:t>
            </w:r>
          </w:p>
          <w:p>
            <w:pPr>
              <w:pStyle w:val="TableText"/>
              <w:ind w:left="244"/>
              <w:spacing w:before="118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收入</w:t>
            </w:r>
          </w:p>
        </w:tc>
        <w:tc>
          <w:tcPr>
            <w:tcW w:w="760" w:type="dxa"/>
            <w:vAlign w:val="top"/>
          </w:tcPr>
          <w:p>
            <w:pPr>
              <w:pStyle w:val="TableText"/>
              <w:ind w:left="136" w:right="140"/>
              <w:spacing w:before="228" w:line="35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上级补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spacing w:val="-3"/>
              </w:rPr>
              <w:t>助收入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186"/>
              <w:spacing w:before="76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2"/>
              </w:rPr>
              <w:t>附属单</w:t>
            </w:r>
          </w:p>
          <w:p>
            <w:pPr>
              <w:pStyle w:val="TableText"/>
              <w:ind w:left="186"/>
              <w:spacing w:before="121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位上缴</w:t>
            </w:r>
          </w:p>
          <w:p>
            <w:pPr>
              <w:pStyle w:val="TableText"/>
              <w:ind w:left="266"/>
              <w:spacing w:before="120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收入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246" w:right="249"/>
              <w:spacing w:before="237" w:line="34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4"/>
              </w:rPr>
              <w:t>其他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spacing w:val="-6"/>
              </w:rPr>
              <w:t>收入</w:t>
            </w:r>
          </w:p>
        </w:tc>
        <w:tc>
          <w:tcPr>
            <w:tcW w:w="95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6"/>
              <w:spacing w:before="52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小计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197" w:right="176"/>
              <w:spacing w:before="238" w:line="34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一般公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spacing w:val="-2"/>
              </w:rPr>
              <w:t>共预算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169"/>
              <w:spacing w:before="76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政府性</w:t>
            </w:r>
          </w:p>
          <w:p>
            <w:pPr>
              <w:pStyle w:val="TableText"/>
              <w:ind w:left="169"/>
              <w:spacing w:before="141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基金预</w:t>
            </w:r>
          </w:p>
          <w:p>
            <w:pPr>
              <w:pStyle w:val="TableText"/>
              <w:ind w:left="328"/>
              <w:spacing w:before="98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算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ind w:left="118" w:right="112"/>
              <w:spacing w:before="236" w:line="34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1"/>
              </w:rPr>
              <w:t>国有资本</w:t>
            </w:r>
            <w:r>
              <w:rPr>
                <w:sz w:val="16"/>
                <w:szCs w:val="16"/>
                <w:spacing w:val="2"/>
              </w:rPr>
              <w:t xml:space="preserve"> </w:t>
            </w:r>
            <w:r>
              <w:rPr>
                <w:sz w:val="16"/>
                <w:szCs w:val="16"/>
                <w:spacing w:val="-2"/>
              </w:rPr>
              <w:t>经营预算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169"/>
              <w:spacing w:before="78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专户资</w:t>
            </w:r>
          </w:p>
          <w:p>
            <w:pPr>
              <w:pStyle w:val="TableText"/>
              <w:ind w:left="169"/>
              <w:spacing w:before="119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金结转</w:t>
            </w:r>
          </w:p>
          <w:p>
            <w:pPr>
              <w:pStyle w:val="TableText"/>
              <w:ind w:left="249"/>
              <w:spacing w:before="119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结余</w:t>
            </w:r>
          </w:p>
        </w:tc>
        <w:tc>
          <w:tcPr>
            <w:tcW w:w="855" w:type="dxa"/>
            <w:vAlign w:val="top"/>
          </w:tcPr>
          <w:p>
            <w:pPr>
              <w:pStyle w:val="TableText"/>
              <w:ind w:left="180"/>
              <w:spacing w:before="78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单位资</w:t>
            </w:r>
          </w:p>
          <w:p>
            <w:pPr>
              <w:pStyle w:val="TableText"/>
              <w:ind w:left="180"/>
              <w:spacing w:before="139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金结转</w:t>
            </w:r>
          </w:p>
          <w:p>
            <w:pPr>
              <w:pStyle w:val="TableText"/>
              <w:ind w:left="260"/>
              <w:spacing w:before="99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结余</w:t>
            </w:r>
          </w:p>
        </w:tc>
      </w:tr>
      <w:tr>
        <w:trPr>
          <w:trHeight w:val="279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554"/>
              <w:spacing w:before="76" w:line="22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520"/>
              <w:spacing w:before="100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531"/>
              <w:spacing w:before="101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vAlign w:val="top"/>
          </w:tcPr>
          <w:p>
            <w:pPr>
              <w:pStyle w:val="TableText"/>
              <w:ind w:left="482"/>
              <w:spacing w:before="101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ind w:left="444"/>
              <w:spacing w:before="101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60" w:type="dxa"/>
            <w:vAlign w:val="top"/>
          </w:tcPr>
          <w:p>
            <w:pPr>
              <w:pStyle w:val="TableText"/>
              <w:ind w:left="334"/>
              <w:spacing w:before="102" w:line="18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364"/>
              <w:spacing w:before="101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60" w:type="dxa"/>
            <w:vAlign w:val="top"/>
          </w:tcPr>
          <w:p>
            <w:pPr>
              <w:pStyle w:val="TableText"/>
              <w:ind w:left="335"/>
              <w:spacing w:before="102" w:line="18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365"/>
              <w:spacing w:before="101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60" w:type="dxa"/>
            <w:vAlign w:val="top"/>
          </w:tcPr>
          <w:p>
            <w:pPr>
              <w:pStyle w:val="TableText"/>
              <w:ind w:left="335"/>
              <w:spacing w:before="101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46"/>
              <w:spacing w:before="100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5"/>
              </w:rPr>
              <w:t>10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326"/>
              <w:spacing w:before="100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5"/>
              </w:rPr>
              <w:t>11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417"/>
              <w:spacing w:before="100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5"/>
              </w:rPr>
              <w:t>12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7"/>
              <w:spacing w:before="100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5"/>
              </w:rPr>
              <w:t>13</w:t>
            </w:r>
          </w:p>
        </w:tc>
        <w:tc>
          <w:tcPr>
            <w:tcW w:w="820" w:type="dxa"/>
            <w:vAlign w:val="top"/>
          </w:tcPr>
          <w:p>
            <w:pPr>
              <w:pStyle w:val="TableText"/>
              <w:ind w:left="328"/>
              <w:spacing w:before="100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5"/>
              </w:rPr>
              <w:t>14</w:t>
            </w:r>
          </w:p>
        </w:tc>
        <w:tc>
          <w:tcPr>
            <w:tcW w:w="889" w:type="dxa"/>
            <w:vAlign w:val="top"/>
          </w:tcPr>
          <w:p>
            <w:pPr>
              <w:pStyle w:val="TableText"/>
              <w:ind w:left="358"/>
              <w:spacing w:before="100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5"/>
              </w:rPr>
              <w:t>15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ind w:left="329"/>
              <w:spacing w:before="100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5"/>
              </w:rPr>
              <w:t>16</w:t>
            </w:r>
          </w:p>
        </w:tc>
        <w:tc>
          <w:tcPr>
            <w:tcW w:w="855" w:type="dxa"/>
            <w:vAlign w:val="top"/>
          </w:tcPr>
          <w:p>
            <w:pPr>
              <w:pStyle w:val="TableText"/>
              <w:ind w:left="340"/>
              <w:spacing w:before="100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5"/>
              </w:rPr>
              <w:t>17</w:t>
            </w:r>
          </w:p>
        </w:tc>
      </w:tr>
      <w:tr>
        <w:trPr>
          <w:trHeight w:val="588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74"/>
              <w:spacing w:before="222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合计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480"/>
              <w:spacing w:before="243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1,300.23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31"/>
              <w:spacing w:before="262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995.00</w:t>
            </w:r>
          </w:p>
        </w:tc>
        <w:tc>
          <w:tcPr>
            <w:tcW w:w="1049" w:type="dxa"/>
            <w:vAlign w:val="top"/>
          </w:tcPr>
          <w:p>
            <w:pPr>
              <w:pStyle w:val="TableText"/>
              <w:ind w:left="512"/>
              <w:spacing w:before="262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930.00</w:t>
            </w: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0" w:type="dxa"/>
            <w:vAlign w:val="top"/>
          </w:tcPr>
          <w:p>
            <w:pPr>
              <w:pStyle w:val="TableText"/>
              <w:spacing w:before="262" w:line="183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7"/>
              </w:rPr>
              <w:t>65.00</w:t>
            </w:r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ind w:left="426"/>
              <w:spacing w:before="262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305.23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right="18"/>
              <w:spacing w:before="262" w:line="183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305.23</w:t>
            </w:r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8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84" w:right="42" w:hanging="50"/>
              <w:spacing w:before="82" w:line="30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台州市新闻传媒</w:t>
            </w:r>
            <w:r>
              <w:rPr>
                <w:sz w:val="16"/>
                <w:szCs w:val="16"/>
                <w:spacing w:val="5"/>
              </w:rPr>
              <w:t xml:space="preserve"> </w:t>
            </w:r>
            <w:r>
              <w:rPr>
                <w:sz w:val="16"/>
                <w:szCs w:val="16"/>
                <w:spacing w:val="5"/>
              </w:rPr>
              <w:t>中心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480"/>
              <w:spacing w:before="255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1,300.23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31"/>
              <w:spacing w:before="274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995.00</w:t>
            </w:r>
          </w:p>
        </w:tc>
        <w:tc>
          <w:tcPr>
            <w:tcW w:w="1049" w:type="dxa"/>
            <w:vAlign w:val="top"/>
          </w:tcPr>
          <w:p>
            <w:pPr>
              <w:pStyle w:val="TableText"/>
              <w:ind w:left="512"/>
              <w:spacing w:before="274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930.00</w:t>
            </w: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0" w:type="dxa"/>
            <w:vAlign w:val="top"/>
          </w:tcPr>
          <w:p>
            <w:pPr>
              <w:pStyle w:val="TableText"/>
              <w:spacing w:before="274" w:line="183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7"/>
              </w:rPr>
              <w:t>65.00</w:t>
            </w:r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ind w:left="426"/>
              <w:spacing w:before="274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305.23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right="18"/>
              <w:spacing w:before="274" w:line="183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305.23</w:t>
            </w:r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3" w:hRule="atLeast"/>
        </w:trPr>
        <w:tc>
          <w:tcPr>
            <w:tcW w:w="1214" w:type="dxa"/>
            <w:vAlign w:val="top"/>
          </w:tcPr>
          <w:p>
            <w:pPr>
              <w:pStyle w:val="TableText"/>
              <w:ind w:left="114" w:firstLine="128"/>
              <w:spacing w:before="105" w:line="28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台州市新闻传 </w:t>
            </w:r>
            <w:r>
              <w:rPr>
                <w:sz w:val="16"/>
                <w:szCs w:val="16"/>
                <w:spacing w:val="3"/>
              </w:rPr>
              <w:t>媒中心(本级)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480"/>
              <w:spacing w:before="257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1,300.23</w:t>
            </w:r>
          </w:p>
        </w:tc>
        <w:tc>
          <w:tcPr>
            <w:tcW w:w="1189" w:type="dxa"/>
            <w:vAlign w:val="top"/>
          </w:tcPr>
          <w:p>
            <w:pPr>
              <w:pStyle w:val="TableText"/>
              <w:ind w:left="631"/>
              <w:spacing w:before="276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995.00</w:t>
            </w:r>
          </w:p>
        </w:tc>
        <w:tc>
          <w:tcPr>
            <w:tcW w:w="1049" w:type="dxa"/>
            <w:vAlign w:val="top"/>
          </w:tcPr>
          <w:p>
            <w:pPr>
              <w:pStyle w:val="TableText"/>
              <w:ind w:left="512"/>
              <w:spacing w:before="276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930.00</w:t>
            </w:r>
          </w:p>
        </w:tc>
        <w:tc>
          <w:tcPr>
            <w:tcW w:w="9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0" w:type="dxa"/>
            <w:vAlign w:val="top"/>
          </w:tcPr>
          <w:p>
            <w:pPr>
              <w:pStyle w:val="TableText"/>
              <w:spacing w:before="276" w:line="183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7"/>
              </w:rPr>
              <w:t>65.00</w:t>
            </w:r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pStyle w:val="TableText"/>
              <w:ind w:left="426"/>
              <w:spacing w:before="276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305.23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right="18"/>
              <w:spacing w:before="276" w:line="183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305.23</w:t>
            </w:r>
          </w:p>
        </w:tc>
        <w:tc>
          <w:tcPr>
            <w:tcW w:w="8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6840" w:h="11910"/>
          <w:pgMar w:top="713" w:right="136" w:bottom="1116" w:left="175" w:header="0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5" w:line="222" w:lineRule="auto"/>
        <w:jc w:val="right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8"/>
        </w:rPr>
        <w:t>公开表3</w:t>
      </w:r>
    </w:p>
    <w:p>
      <w:pPr>
        <w:ind w:left="5351"/>
        <w:spacing w:before="123" w:line="222" w:lineRule="auto"/>
        <w:outlineLvl w:val="1"/>
        <w:rPr>
          <w:rFonts w:ascii="FangSong" w:hAnsi="FangSong" w:eastAsia="FangSong" w:cs="FangSong"/>
          <w:sz w:val="42"/>
          <w:szCs w:val="42"/>
        </w:rPr>
      </w:pPr>
      <w:bookmarkStart w:name="bookmark35" w:id="64"/>
      <w:bookmarkEnd w:id="64"/>
      <w:bookmarkStart w:name="bookmark19" w:id="65"/>
      <w:bookmarkEnd w:id="65"/>
      <w:r>
        <w:rPr>
          <w:rFonts w:ascii="FangSong" w:hAnsi="FangSong" w:eastAsia="FangSong" w:cs="FangSong"/>
          <w:sz w:val="42"/>
          <w:szCs w:val="42"/>
          <w:b/>
          <w:bCs/>
          <w:spacing w:val="6"/>
        </w:rPr>
        <w:t>2025年部门支出预算总表</w:t>
      </w:r>
    </w:p>
    <w:p>
      <w:pPr>
        <w:pStyle w:val="BodyText"/>
        <w:ind w:left="145"/>
        <w:spacing w:before="57" w:line="220" w:lineRule="auto"/>
        <w:rPr>
          <w:sz w:val="21"/>
          <w:szCs w:val="21"/>
        </w:rPr>
      </w:pPr>
      <w:r>
        <w:rPr>
          <w:sz w:val="21"/>
          <w:szCs w:val="21"/>
        </w:rPr>
        <w:t>部门名称：台州市新闻传媒中心                                                  </w:t>
      </w:r>
      <w:r>
        <w:rPr>
          <w:sz w:val="21"/>
          <w:szCs w:val="21"/>
          <w:spacing w:val="-1"/>
        </w:rPr>
        <w:t xml:space="preserve">                                                          单位：万元</w:t>
      </w:r>
    </w:p>
    <w:p>
      <w:pPr>
        <w:spacing w:line="74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539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64"/>
        <w:gridCol w:w="4897"/>
        <w:gridCol w:w="1549"/>
        <w:gridCol w:w="1279"/>
        <w:gridCol w:w="1119"/>
        <w:gridCol w:w="1229"/>
        <w:gridCol w:w="1020"/>
        <w:gridCol w:w="959"/>
        <w:gridCol w:w="1274"/>
      </w:tblGrid>
      <w:tr>
        <w:trPr>
          <w:trHeight w:val="314" w:hRule="atLeast"/>
        </w:trPr>
        <w:tc>
          <w:tcPr>
            <w:tcW w:w="2064" w:type="dxa"/>
            <w:vAlign w:val="top"/>
            <w:vMerge w:val="restart"/>
            <w:tcBorders>
              <w:bottom w:val="nil"/>
            </w:tcBorders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5"/>
              <w:spacing w:before="65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科目编码</w:t>
            </w:r>
          </w:p>
        </w:tc>
        <w:tc>
          <w:tcPr>
            <w:tcW w:w="4897" w:type="dxa"/>
            <w:vAlign w:val="top"/>
            <w:vMerge w:val="restart"/>
            <w:tcBorders>
              <w:bottom w:val="nil"/>
            </w:tcBorders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31"/>
              <w:spacing w:before="65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科目名称</w:t>
            </w:r>
          </w:p>
        </w:tc>
        <w:tc>
          <w:tcPr>
            <w:tcW w:w="1549" w:type="dxa"/>
            <w:vAlign w:val="top"/>
            <w:vMerge w:val="restart"/>
            <w:tcBorders>
              <w:bottom w:val="nil"/>
            </w:tcBorders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4"/>
              <w:spacing w:before="65" w:line="22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4"/>
              </w:rPr>
              <w:t>总计</w:t>
            </w:r>
          </w:p>
        </w:tc>
        <w:tc>
          <w:tcPr>
            <w:tcW w:w="2398" w:type="dxa"/>
            <w:vAlign w:val="top"/>
            <w:gridSpan w:val="2"/>
          </w:tcPr>
          <w:p>
            <w:pPr>
              <w:pStyle w:val="TableText"/>
              <w:ind w:left="815"/>
              <w:spacing w:before="61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基本支出</w:t>
            </w:r>
          </w:p>
        </w:tc>
        <w:tc>
          <w:tcPr>
            <w:tcW w:w="1229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项目支出</w:t>
            </w:r>
          </w:p>
        </w:tc>
        <w:tc>
          <w:tcPr>
            <w:tcW w:w="102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" w:right="77"/>
              <w:spacing w:before="214" w:line="27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事业单位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pacing w:val="6"/>
              </w:rPr>
              <w:t>经营支出</w:t>
            </w:r>
          </w:p>
        </w:tc>
        <w:tc>
          <w:tcPr>
            <w:tcW w:w="95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78" w:right="146"/>
              <w:spacing w:before="232" w:line="26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4"/>
              </w:rPr>
              <w:t>上缴上</w:t>
            </w:r>
            <w:r>
              <w:rPr>
                <w:sz w:val="20"/>
                <w:szCs w:val="20"/>
                <w:spacing w:val="1"/>
              </w:rPr>
              <w:t xml:space="preserve"> </w:t>
            </w:r>
            <w:r>
              <w:rPr>
                <w:sz w:val="20"/>
                <w:szCs w:val="20"/>
                <w:spacing w:val="8"/>
              </w:rPr>
              <w:t>级支出</w:t>
            </w:r>
          </w:p>
        </w:tc>
        <w:tc>
          <w:tcPr>
            <w:tcW w:w="127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9" w:right="141" w:hanging="100"/>
              <w:spacing w:before="211" w:line="2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对附属单位</w:t>
            </w:r>
            <w:r>
              <w:rPr>
                <w:sz w:val="20"/>
                <w:szCs w:val="20"/>
                <w:spacing w:val="2"/>
              </w:rPr>
              <w:t xml:space="preserve"> </w:t>
            </w:r>
            <w:r>
              <w:rPr>
                <w:sz w:val="20"/>
                <w:szCs w:val="20"/>
                <w:spacing w:val="6"/>
              </w:rPr>
              <w:t>补助支出</w:t>
            </w:r>
          </w:p>
        </w:tc>
      </w:tr>
      <w:tr>
        <w:trPr>
          <w:trHeight w:val="629" w:hRule="atLeast"/>
        </w:trPr>
        <w:tc>
          <w:tcPr>
            <w:tcW w:w="206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9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ind w:left="235"/>
              <w:spacing w:before="219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人员支出</w:t>
            </w:r>
          </w:p>
        </w:tc>
        <w:tc>
          <w:tcPr>
            <w:tcW w:w="1119" w:type="dxa"/>
            <w:vAlign w:val="top"/>
          </w:tcPr>
          <w:p>
            <w:pPr>
              <w:pStyle w:val="TableText"/>
              <w:ind w:left="356" w:right="128" w:hanging="200"/>
              <w:spacing w:before="70" w:line="25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日常公用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pacing w:val="12"/>
              </w:rPr>
              <w:t>支出</w:t>
            </w:r>
          </w:p>
        </w:tc>
        <w:tc>
          <w:tcPr>
            <w:tcW w:w="122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2064" w:type="dxa"/>
            <w:vAlign w:val="top"/>
          </w:tcPr>
          <w:p>
            <w:pPr>
              <w:pStyle w:val="TableText"/>
              <w:ind w:left="935"/>
              <w:spacing w:before="80" w:line="20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**</w:t>
            </w:r>
          </w:p>
        </w:tc>
        <w:tc>
          <w:tcPr>
            <w:tcW w:w="4897" w:type="dxa"/>
            <w:vAlign w:val="top"/>
          </w:tcPr>
          <w:p>
            <w:pPr>
              <w:pStyle w:val="TableText"/>
              <w:ind w:left="2341"/>
              <w:spacing w:before="80" w:line="20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**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714"/>
              <w:spacing w:before="110" w:line="17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584"/>
              <w:spacing w:before="111" w:line="17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9" w:type="dxa"/>
            <w:vAlign w:val="top"/>
          </w:tcPr>
          <w:p>
            <w:pPr>
              <w:pStyle w:val="TableText"/>
              <w:ind w:left="506"/>
              <w:spacing w:before="111" w:line="17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9" w:type="dxa"/>
            <w:vAlign w:val="top"/>
          </w:tcPr>
          <w:p>
            <w:pPr>
              <w:pStyle w:val="TableText"/>
              <w:ind w:left="547"/>
              <w:spacing w:before="111" w:line="17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  <w:vAlign w:val="top"/>
          </w:tcPr>
          <w:p>
            <w:pPr>
              <w:pStyle w:val="TableText"/>
              <w:ind w:left="458"/>
              <w:spacing w:before="112" w:line="17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9" w:type="dxa"/>
            <w:vAlign w:val="top"/>
          </w:tcPr>
          <w:p>
            <w:pPr>
              <w:pStyle w:val="TableText"/>
              <w:ind w:left="428"/>
              <w:spacing w:before="111" w:line="17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579"/>
              <w:spacing w:before="112" w:line="17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rPr>
          <w:trHeight w:val="309" w:hRule="atLeast"/>
        </w:trPr>
        <w:tc>
          <w:tcPr>
            <w:tcW w:w="20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97" w:type="dxa"/>
            <w:vAlign w:val="top"/>
          </w:tcPr>
          <w:p>
            <w:pPr>
              <w:pStyle w:val="TableText"/>
              <w:ind w:left="321"/>
              <w:spacing w:before="62"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合计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664"/>
              <w:spacing w:before="88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1,300.23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ind w:left="337"/>
              <w:spacing w:before="88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1,300.23</w:t>
            </w:r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64" w:type="dxa"/>
            <w:vAlign w:val="top"/>
          </w:tcPr>
          <w:p>
            <w:pPr>
              <w:pStyle w:val="TableText"/>
              <w:ind w:left="95"/>
              <w:spacing w:before="114" w:line="1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207</w:t>
            </w:r>
          </w:p>
        </w:tc>
        <w:tc>
          <w:tcPr>
            <w:tcW w:w="4897" w:type="dxa"/>
            <w:vAlign w:val="top"/>
          </w:tcPr>
          <w:p>
            <w:pPr>
              <w:pStyle w:val="TableText"/>
              <w:ind w:left="321"/>
              <w:spacing w:before="60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文化旅游体育与传媒支出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664"/>
              <w:spacing w:before="89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1,235.23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ind w:left="337"/>
              <w:spacing w:before="89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1,235.23</w:t>
            </w:r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2064" w:type="dxa"/>
            <w:vAlign w:val="top"/>
          </w:tcPr>
          <w:p>
            <w:pPr>
              <w:pStyle w:val="TableText"/>
              <w:ind w:left="515"/>
              <w:spacing w:before="114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20708</w:t>
            </w:r>
          </w:p>
        </w:tc>
        <w:tc>
          <w:tcPr>
            <w:tcW w:w="4897" w:type="dxa"/>
            <w:vAlign w:val="top"/>
          </w:tcPr>
          <w:p>
            <w:pPr>
              <w:pStyle w:val="TableText"/>
              <w:ind w:left="321"/>
              <w:spacing w:before="62"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广播电视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664"/>
              <w:spacing w:before="90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ind w:left="337"/>
              <w:spacing w:before="90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0" w:hRule="atLeast"/>
        </w:trPr>
        <w:tc>
          <w:tcPr>
            <w:tcW w:w="2064" w:type="dxa"/>
            <w:vAlign w:val="top"/>
          </w:tcPr>
          <w:p>
            <w:pPr>
              <w:pStyle w:val="TableText"/>
              <w:ind w:left="515"/>
              <w:spacing w:before="105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2070899</w:t>
            </w:r>
          </w:p>
        </w:tc>
        <w:tc>
          <w:tcPr>
            <w:tcW w:w="4897" w:type="dxa"/>
            <w:vAlign w:val="top"/>
          </w:tcPr>
          <w:p>
            <w:pPr>
              <w:pStyle w:val="TableText"/>
              <w:ind w:left="321"/>
              <w:spacing w:before="53"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其他广播电视支出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664"/>
              <w:spacing w:before="81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ind w:left="337"/>
              <w:spacing w:before="81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64" w:type="dxa"/>
            <w:vAlign w:val="top"/>
          </w:tcPr>
          <w:p>
            <w:pPr>
              <w:pStyle w:val="TableText"/>
              <w:ind w:left="515"/>
              <w:spacing w:before="116" w:line="1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20799</w:t>
            </w:r>
          </w:p>
        </w:tc>
        <w:tc>
          <w:tcPr>
            <w:tcW w:w="4897" w:type="dxa"/>
            <w:vAlign w:val="top"/>
          </w:tcPr>
          <w:p>
            <w:pPr>
              <w:pStyle w:val="TableText"/>
              <w:ind w:left="321"/>
              <w:spacing w:before="62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1"/>
              </w:rPr>
              <w:t>其他文化旅游体育与传媒支出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864"/>
              <w:spacing w:before="116" w:line="1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ind w:left="537"/>
              <w:spacing w:before="116" w:line="1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2064" w:type="dxa"/>
            <w:vAlign w:val="top"/>
          </w:tcPr>
          <w:p>
            <w:pPr>
              <w:pStyle w:val="TableText"/>
              <w:ind w:left="515"/>
              <w:spacing w:before="117" w:line="16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2079999</w:t>
            </w:r>
          </w:p>
        </w:tc>
        <w:tc>
          <w:tcPr>
            <w:tcW w:w="4897" w:type="dxa"/>
            <w:vAlign w:val="top"/>
          </w:tcPr>
          <w:p>
            <w:pPr>
              <w:pStyle w:val="TableText"/>
              <w:ind w:left="321"/>
              <w:spacing w:before="63" w:line="21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1"/>
              </w:rPr>
              <w:t>其他文化旅游体育与传媒支出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864"/>
              <w:spacing w:before="117" w:line="16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ind w:left="537"/>
              <w:spacing w:before="117" w:line="16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64" w:type="dxa"/>
            <w:vAlign w:val="top"/>
          </w:tcPr>
          <w:p>
            <w:pPr>
              <w:pStyle w:val="TableText"/>
              <w:ind w:left="95"/>
              <w:spacing w:before="117" w:line="17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223</w:t>
            </w:r>
          </w:p>
        </w:tc>
        <w:tc>
          <w:tcPr>
            <w:tcW w:w="4897" w:type="dxa"/>
            <w:vAlign w:val="top"/>
          </w:tcPr>
          <w:p>
            <w:pPr>
              <w:pStyle w:val="TableText"/>
              <w:ind w:left="321"/>
              <w:spacing w:before="64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国有资本经营预算支出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964"/>
              <w:spacing w:before="117" w:line="17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ind w:left="637"/>
              <w:spacing w:before="117" w:line="17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2064" w:type="dxa"/>
            <w:vAlign w:val="top"/>
          </w:tcPr>
          <w:p>
            <w:pPr>
              <w:pStyle w:val="TableText"/>
              <w:ind w:left="515"/>
              <w:spacing w:before="119" w:line="16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22302</w:t>
            </w:r>
          </w:p>
        </w:tc>
        <w:tc>
          <w:tcPr>
            <w:tcW w:w="4897" w:type="dxa"/>
            <w:vAlign w:val="top"/>
          </w:tcPr>
          <w:p>
            <w:pPr>
              <w:pStyle w:val="TableText"/>
              <w:ind w:left="321"/>
              <w:spacing w:before="66" w:line="21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国有企业资本金注入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964"/>
              <w:spacing w:before="119" w:line="16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ind w:left="637"/>
              <w:spacing w:before="119" w:line="16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4" w:hRule="atLeast"/>
        </w:trPr>
        <w:tc>
          <w:tcPr>
            <w:tcW w:w="2064" w:type="dxa"/>
            <w:vAlign w:val="top"/>
          </w:tcPr>
          <w:p>
            <w:pPr>
              <w:pStyle w:val="TableText"/>
              <w:ind w:left="515"/>
              <w:spacing w:before="119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2230299</w:t>
            </w:r>
          </w:p>
        </w:tc>
        <w:tc>
          <w:tcPr>
            <w:tcW w:w="4897" w:type="dxa"/>
            <w:vAlign w:val="top"/>
          </w:tcPr>
          <w:p>
            <w:pPr>
              <w:pStyle w:val="TableText"/>
              <w:ind w:left="321"/>
              <w:spacing w:before="67"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1"/>
              </w:rPr>
              <w:t>其他国有企业资本金注入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964"/>
              <w:spacing w:before="119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pStyle w:val="TableText"/>
              <w:ind w:left="637"/>
              <w:spacing w:before="119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  <w:tc>
          <w:tcPr>
            <w:tcW w:w="10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6840" w:h="11910"/>
          <w:pgMar w:top="712" w:right="705" w:bottom="1117" w:left="684" w:header="0" w:footer="991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9975"/>
        <w:spacing w:before="45" w:line="222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7"/>
        </w:rPr>
        <w:t>公开表4</w:t>
      </w:r>
    </w:p>
    <w:p>
      <w:pPr>
        <w:ind w:left="2281"/>
        <w:spacing w:before="103" w:line="222" w:lineRule="auto"/>
        <w:outlineLvl w:val="1"/>
        <w:rPr>
          <w:rFonts w:ascii="FangSong" w:hAnsi="FangSong" w:eastAsia="FangSong" w:cs="FangSong"/>
          <w:sz w:val="43"/>
          <w:szCs w:val="43"/>
        </w:rPr>
      </w:pPr>
      <w:bookmarkStart w:name="bookmark36" w:id="66"/>
      <w:bookmarkEnd w:id="66"/>
      <w:bookmarkStart w:name="bookmark20" w:id="67"/>
      <w:bookmarkEnd w:id="67"/>
      <w:r>
        <w:rPr>
          <w:rFonts w:ascii="FangSong" w:hAnsi="FangSong" w:eastAsia="FangSong" w:cs="FangSong"/>
          <w:sz w:val="43"/>
          <w:szCs w:val="43"/>
          <w:b/>
          <w:bCs/>
        </w:rPr>
        <w:t>2025年部门财政拨款收支预算总表</w:t>
      </w:r>
    </w:p>
    <w:p>
      <w:pPr>
        <w:pStyle w:val="BodyText"/>
        <w:ind w:left="135"/>
        <w:spacing w:before="55" w:line="217" w:lineRule="auto"/>
        <w:rPr>
          <w:sz w:val="21"/>
          <w:szCs w:val="21"/>
        </w:rPr>
      </w:pPr>
      <w:r>
        <w:rPr>
          <w:sz w:val="21"/>
          <w:szCs w:val="21"/>
          <w:spacing w:val="1"/>
        </w:rPr>
        <w:t>部门名称：台州市新闻传媒中心                                               </w:t>
      </w:r>
      <w:r>
        <w:rPr>
          <w:sz w:val="21"/>
          <w:szCs w:val="21"/>
        </w:rPr>
        <w:t xml:space="preserve">                   </w:t>
      </w:r>
      <w:r>
        <w:rPr>
          <w:sz w:val="21"/>
          <w:szCs w:val="21"/>
          <w:position w:val="-1"/>
        </w:rPr>
        <w:t>单位：万元</w:t>
      </w:r>
    </w:p>
    <w:tbl>
      <w:tblPr>
        <w:tblStyle w:val="TableNormal"/>
        <w:tblW w:w="1114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171"/>
        <w:gridCol w:w="1409"/>
        <w:gridCol w:w="4156"/>
        <w:gridCol w:w="1404"/>
      </w:tblGrid>
      <w:tr>
        <w:trPr>
          <w:trHeight w:val="314" w:hRule="atLeast"/>
        </w:trPr>
        <w:tc>
          <w:tcPr>
            <w:tcW w:w="5580" w:type="dxa"/>
            <w:vAlign w:val="top"/>
            <w:gridSpan w:val="2"/>
          </w:tcPr>
          <w:p>
            <w:pPr>
              <w:pStyle w:val="TableText"/>
              <w:ind w:left="1575"/>
              <w:spacing w:before="53" w:line="220" w:lineRule="auto"/>
              <w:rPr/>
            </w:pPr>
            <w:r>
              <w:rPr>
                <w:spacing w:val="-8"/>
              </w:rPr>
              <w:t>收</w:t>
            </w:r>
            <w:r>
              <w:rPr/>
              <w:t xml:space="preserve">                   </w:t>
            </w:r>
            <w:r>
              <w:rPr>
                <w:spacing w:val="-8"/>
              </w:rPr>
              <w:t>入</w:t>
            </w:r>
          </w:p>
        </w:tc>
        <w:tc>
          <w:tcPr>
            <w:tcW w:w="5560" w:type="dxa"/>
            <w:vAlign w:val="top"/>
            <w:gridSpan w:val="2"/>
          </w:tcPr>
          <w:p>
            <w:pPr>
              <w:pStyle w:val="TableText"/>
              <w:ind w:left="1565"/>
              <w:spacing w:before="53" w:line="220" w:lineRule="auto"/>
              <w:rPr/>
            </w:pPr>
            <w:r>
              <w:rPr>
                <w:spacing w:val="-5"/>
              </w:rPr>
              <w:t>支</w:t>
            </w:r>
            <w:r>
              <w:rPr>
                <w:spacing w:val="1"/>
              </w:rPr>
              <w:t xml:space="preserve">                   </w:t>
            </w:r>
            <w:r>
              <w:rPr>
                <w:spacing w:val="-5"/>
              </w:rPr>
              <w:t>出</w:t>
            </w:r>
          </w:p>
        </w:tc>
      </w:tr>
      <w:tr>
        <w:trPr>
          <w:trHeight w:val="299" w:hRule="atLeast"/>
        </w:trPr>
        <w:tc>
          <w:tcPr>
            <w:tcW w:w="4171" w:type="dxa"/>
            <w:vAlign w:val="top"/>
          </w:tcPr>
          <w:p>
            <w:pPr>
              <w:pStyle w:val="TableText"/>
              <w:ind w:left="1525"/>
              <w:spacing w:before="62" w:line="199" w:lineRule="auto"/>
              <w:rPr/>
            </w:pPr>
            <w:r>
              <w:rPr>
                <w:spacing w:val="-3"/>
              </w:rPr>
              <w:t>项       目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ind w:left="413"/>
              <w:spacing w:before="48" w:line="211" w:lineRule="auto"/>
              <w:rPr/>
            </w:pPr>
            <w:r>
              <w:rPr>
                <w:spacing w:val="-3"/>
              </w:rPr>
              <w:t>预算数</w:t>
            </w:r>
          </w:p>
        </w:tc>
        <w:tc>
          <w:tcPr>
            <w:tcW w:w="4156" w:type="dxa"/>
            <w:vAlign w:val="top"/>
          </w:tcPr>
          <w:p>
            <w:pPr>
              <w:pStyle w:val="TableText"/>
              <w:ind w:left="1675"/>
              <w:spacing w:before="50" w:line="210" w:lineRule="auto"/>
              <w:rPr/>
            </w:pPr>
            <w:r>
              <w:rPr>
                <w:spacing w:val="-4"/>
              </w:rPr>
              <w:t>项    目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419"/>
              <w:spacing w:before="48" w:line="211" w:lineRule="auto"/>
              <w:rPr/>
            </w:pPr>
            <w:r>
              <w:rPr>
                <w:spacing w:val="-3"/>
              </w:rPr>
              <w:t>预算数</w:t>
            </w:r>
          </w:p>
        </w:tc>
      </w:tr>
      <w:tr>
        <w:trPr>
          <w:trHeight w:val="329" w:hRule="atLeast"/>
        </w:trPr>
        <w:tc>
          <w:tcPr>
            <w:tcW w:w="4171" w:type="dxa"/>
            <w:vAlign w:val="top"/>
          </w:tcPr>
          <w:p>
            <w:pPr>
              <w:pStyle w:val="TableText"/>
              <w:ind w:left="195"/>
              <w:spacing w:before="60" w:line="219" w:lineRule="auto"/>
              <w:rPr/>
            </w:pPr>
            <w:r>
              <w:rPr>
                <w:spacing w:val="-1"/>
              </w:rPr>
              <w:t>一、财政拨款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ind w:left="674"/>
              <w:spacing w:before="115" w:line="179" w:lineRule="auto"/>
              <w:rPr/>
            </w:pPr>
            <w:r>
              <w:rPr>
                <w:spacing w:val="-2"/>
              </w:rPr>
              <w:t>995.00</w:t>
            </w:r>
          </w:p>
        </w:tc>
        <w:tc>
          <w:tcPr>
            <w:tcW w:w="4156" w:type="dxa"/>
            <w:vAlign w:val="top"/>
          </w:tcPr>
          <w:p>
            <w:pPr>
              <w:pStyle w:val="TableText"/>
              <w:ind w:left="495"/>
              <w:spacing w:before="59" w:line="219" w:lineRule="auto"/>
              <w:rPr/>
            </w:pPr>
            <w:r>
              <w:rPr>
                <w:spacing w:val="2"/>
              </w:rPr>
              <w:t>文化旅游体育与传媒支出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479"/>
              <w:spacing w:before="89" w:line="184" w:lineRule="auto"/>
              <w:rPr/>
            </w:pPr>
            <w:r>
              <w:rPr>
                <w:spacing w:val="-3"/>
              </w:rPr>
              <w:t>1,235.23</w:t>
            </w:r>
          </w:p>
        </w:tc>
      </w:tr>
      <w:tr>
        <w:trPr>
          <w:trHeight w:val="299" w:hRule="atLeast"/>
        </w:trPr>
        <w:tc>
          <w:tcPr>
            <w:tcW w:w="4171" w:type="dxa"/>
            <w:vAlign w:val="top"/>
          </w:tcPr>
          <w:p>
            <w:pPr>
              <w:pStyle w:val="TableText"/>
              <w:ind w:left="915"/>
              <w:spacing w:before="51" w:line="209" w:lineRule="auto"/>
              <w:rPr/>
            </w:pPr>
            <w:r>
              <w:rPr>
                <w:spacing w:val="1"/>
              </w:rPr>
              <w:t>一般公共预算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ind w:left="674"/>
              <w:spacing w:before="105" w:line="161" w:lineRule="auto"/>
              <w:rPr/>
            </w:pPr>
            <w:r>
              <w:rPr>
                <w:spacing w:val="-2"/>
              </w:rPr>
              <w:t>930.00</w:t>
            </w:r>
          </w:p>
        </w:tc>
        <w:tc>
          <w:tcPr>
            <w:tcW w:w="4156" w:type="dxa"/>
            <w:vAlign w:val="top"/>
          </w:tcPr>
          <w:p>
            <w:pPr>
              <w:pStyle w:val="TableText"/>
              <w:ind w:left="495"/>
              <w:spacing w:before="51" w:line="209" w:lineRule="auto"/>
              <w:rPr/>
            </w:pPr>
            <w:r>
              <w:rPr>
                <w:spacing w:val="-2"/>
              </w:rPr>
              <w:t>广播电视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479"/>
              <w:spacing w:before="80" w:line="183" w:lineRule="auto"/>
              <w:rPr/>
            </w:pPr>
            <w:r>
              <w:rPr>
                <w:spacing w:val="-3"/>
              </w:rPr>
              <w:t>1,008.00</w:t>
            </w:r>
          </w:p>
        </w:tc>
      </w:tr>
      <w:tr>
        <w:trPr>
          <w:trHeight w:val="310" w:hRule="atLeast"/>
        </w:trPr>
        <w:tc>
          <w:tcPr>
            <w:tcW w:w="4171" w:type="dxa"/>
            <w:vAlign w:val="top"/>
          </w:tcPr>
          <w:p>
            <w:pPr>
              <w:pStyle w:val="TableText"/>
              <w:ind w:left="905"/>
              <w:spacing w:before="52" w:line="218" w:lineRule="auto"/>
              <w:rPr/>
            </w:pPr>
            <w:r>
              <w:rPr>
                <w:spacing w:val="-1"/>
              </w:rPr>
              <w:t>政府性基金预算</w:t>
            </w:r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6" w:type="dxa"/>
            <w:vAlign w:val="top"/>
          </w:tcPr>
          <w:p>
            <w:pPr>
              <w:pStyle w:val="TableText"/>
              <w:ind w:left="495"/>
              <w:spacing w:before="52" w:line="218" w:lineRule="auto"/>
              <w:rPr/>
            </w:pPr>
            <w:r>
              <w:rPr>
                <w:spacing w:val="3"/>
              </w:rPr>
              <w:t>其他广播电视支出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479"/>
              <w:spacing w:before="81" w:line="184" w:lineRule="auto"/>
              <w:rPr/>
            </w:pPr>
            <w:r>
              <w:rPr>
                <w:spacing w:val="-3"/>
              </w:rPr>
              <w:t>1,008.00</w:t>
            </w:r>
          </w:p>
        </w:tc>
      </w:tr>
      <w:tr>
        <w:trPr>
          <w:trHeight w:val="309" w:hRule="atLeast"/>
        </w:trPr>
        <w:tc>
          <w:tcPr>
            <w:tcW w:w="4171" w:type="dxa"/>
            <w:vAlign w:val="top"/>
          </w:tcPr>
          <w:p>
            <w:pPr>
              <w:pStyle w:val="TableText"/>
              <w:ind w:left="1235"/>
              <w:spacing w:before="52" w:line="217" w:lineRule="auto"/>
              <w:rPr/>
            </w:pPr>
            <w:r>
              <w:rPr>
                <w:spacing w:val="1"/>
              </w:rPr>
              <w:t>国有资本经营预算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ind w:left="774"/>
              <w:spacing w:before="106" w:line="169" w:lineRule="auto"/>
              <w:rPr/>
            </w:pPr>
            <w:r>
              <w:rPr>
                <w:spacing w:val="-2"/>
              </w:rPr>
              <w:t>65.00</w:t>
            </w:r>
          </w:p>
        </w:tc>
        <w:tc>
          <w:tcPr>
            <w:tcW w:w="4156" w:type="dxa"/>
            <w:vAlign w:val="top"/>
          </w:tcPr>
          <w:p>
            <w:pPr>
              <w:pStyle w:val="TableText"/>
              <w:ind w:left="495"/>
              <w:spacing w:before="52" w:line="217" w:lineRule="auto"/>
              <w:rPr/>
            </w:pPr>
            <w:r>
              <w:rPr>
                <w:spacing w:val="1"/>
              </w:rPr>
              <w:t>其他文化旅游体育与传媒支出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689"/>
              <w:spacing w:before="106" w:line="169" w:lineRule="auto"/>
              <w:rPr/>
            </w:pPr>
            <w:r>
              <w:rPr>
                <w:spacing w:val="-2"/>
              </w:rPr>
              <w:t>227.23</w:t>
            </w:r>
          </w:p>
        </w:tc>
      </w:tr>
      <w:tr>
        <w:trPr>
          <w:trHeight w:val="319" w:hRule="atLeast"/>
        </w:trPr>
        <w:tc>
          <w:tcPr>
            <w:tcW w:w="4171" w:type="dxa"/>
            <w:vAlign w:val="top"/>
          </w:tcPr>
          <w:p>
            <w:pPr>
              <w:pStyle w:val="TableText"/>
              <w:ind w:left="105"/>
              <w:spacing w:before="63" w:line="216" w:lineRule="auto"/>
              <w:rPr/>
            </w:pPr>
            <w:r>
              <w:rPr>
                <w:spacing w:val="1"/>
              </w:rPr>
              <w:t>二、上年结转结余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ind w:left="674"/>
              <w:spacing w:before="117" w:line="168" w:lineRule="auto"/>
              <w:rPr/>
            </w:pPr>
            <w:r>
              <w:rPr>
                <w:spacing w:val="-2"/>
              </w:rPr>
              <w:t>305.23</w:t>
            </w:r>
          </w:p>
        </w:tc>
        <w:tc>
          <w:tcPr>
            <w:tcW w:w="4156" w:type="dxa"/>
            <w:vAlign w:val="top"/>
          </w:tcPr>
          <w:p>
            <w:pPr>
              <w:pStyle w:val="TableText"/>
              <w:ind w:left="495"/>
              <w:spacing w:before="63" w:line="216" w:lineRule="auto"/>
              <w:rPr/>
            </w:pPr>
            <w:r>
              <w:rPr>
                <w:spacing w:val="1"/>
              </w:rPr>
              <w:t>其他文化旅游体育与传媒支出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689"/>
              <w:spacing w:before="117" w:line="168" w:lineRule="auto"/>
              <w:rPr/>
            </w:pPr>
            <w:r>
              <w:rPr>
                <w:spacing w:val="-2"/>
              </w:rPr>
              <w:t>227.23</w:t>
            </w:r>
          </w:p>
        </w:tc>
      </w:tr>
      <w:tr>
        <w:trPr>
          <w:trHeight w:val="309" w:hRule="atLeast"/>
        </w:trPr>
        <w:tc>
          <w:tcPr>
            <w:tcW w:w="4171" w:type="dxa"/>
            <w:vAlign w:val="top"/>
          </w:tcPr>
          <w:p>
            <w:pPr>
              <w:pStyle w:val="TableText"/>
              <w:ind w:left="925"/>
              <w:spacing w:before="54" w:line="215" w:lineRule="auto"/>
              <w:rPr/>
            </w:pPr>
            <w:r>
              <w:rPr>
                <w:spacing w:val="1"/>
              </w:rPr>
              <w:t>一般公共预算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ind w:left="674"/>
              <w:spacing w:before="109" w:line="167" w:lineRule="auto"/>
              <w:rPr/>
            </w:pPr>
            <w:r>
              <w:rPr>
                <w:spacing w:val="-2"/>
              </w:rPr>
              <w:t>305.23</w:t>
            </w:r>
          </w:p>
        </w:tc>
        <w:tc>
          <w:tcPr>
            <w:tcW w:w="4156" w:type="dxa"/>
            <w:vAlign w:val="top"/>
          </w:tcPr>
          <w:p>
            <w:pPr>
              <w:pStyle w:val="TableText"/>
              <w:ind w:left="495"/>
              <w:spacing w:before="53" w:line="216" w:lineRule="auto"/>
              <w:rPr/>
            </w:pPr>
            <w:r>
              <w:rPr>
                <w:spacing w:val="2"/>
              </w:rPr>
              <w:t>国有资本经营预算支出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789"/>
              <w:spacing w:before="109" w:line="167" w:lineRule="auto"/>
              <w:rPr/>
            </w:pPr>
            <w:r>
              <w:rPr>
                <w:spacing w:val="-2"/>
              </w:rPr>
              <w:t>65.00</w:t>
            </w:r>
          </w:p>
        </w:tc>
      </w:tr>
      <w:tr>
        <w:trPr>
          <w:trHeight w:val="309" w:hRule="atLeast"/>
        </w:trPr>
        <w:tc>
          <w:tcPr>
            <w:tcW w:w="4171" w:type="dxa"/>
            <w:vAlign w:val="top"/>
          </w:tcPr>
          <w:p>
            <w:pPr>
              <w:pStyle w:val="TableText"/>
              <w:ind w:left="915"/>
              <w:spacing w:before="54" w:line="215" w:lineRule="auto"/>
              <w:rPr/>
            </w:pPr>
            <w:r>
              <w:rPr>
                <w:spacing w:val="-1"/>
              </w:rPr>
              <w:t>政府性基金预算</w:t>
            </w:r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6" w:type="dxa"/>
            <w:vAlign w:val="top"/>
          </w:tcPr>
          <w:p>
            <w:pPr>
              <w:pStyle w:val="TableText"/>
              <w:ind w:left="495"/>
              <w:spacing w:before="54" w:line="215" w:lineRule="auto"/>
              <w:rPr/>
            </w:pPr>
            <w:r>
              <w:rPr/>
              <w:t>国有企业资本金注入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789"/>
              <w:spacing w:before="110" w:line="166" w:lineRule="auto"/>
              <w:rPr/>
            </w:pPr>
            <w:r>
              <w:rPr>
                <w:spacing w:val="-2"/>
              </w:rPr>
              <w:t>65.00</w:t>
            </w:r>
          </w:p>
        </w:tc>
      </w:tr>
      <w:tr>
        <w:trPr>
          <w:trHeight w:val="299" w:hRule="atLeast"/>
        </w:trPr>
        <w:tc>
          <w:tcPr>
            <w:tcW w:w="4171" w:type="dxa"/>
            <w:vAlign w:val="top"/>
          </w:tcPr>
          <w:p>
            <w:pPr>
              <w:pStyle w:val="TableText"/>
              <w:ind w:left="1235"/>
              <w:spacing w:before="55" w:line="205" w:lineRule="auto"/>
              <w:rPr/>
            </w:pPr>
            <w:r>
              <w:rPr>
                <w:spacing w:val="1"/>
              </w:rPr>
              <w:t>国有资本经营预算</w:t>
            </w:r>
          </w:p>
        </w:tc>
        <w:tc>
          <w:tcPr>
            <w:tcW w:w="1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56" w:type="dxa"/>
            <w:vAlign w:val="top"/>
          </w:tcPr>
          <w:p>
            <w:pPr>
              <w:pStyle w:val="TableText"/>
              <w:ind w:left="495"/>
              <w:spacing w:before="55" w:line="205" w:lineRule="auto"/>
              <w:rPr/>
            </w:pPr>
            <w:r>
              <w:rPr>
                <w:spacing w:val="-1"/>
              </w:rPr>
              <w:t>其他国有企业资本金注入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789"/>
              <w:spacing w:before="110" w:line="157" w:lineRule="auto"/>
              <w:rPr/>
            </w:pPr>
            <w:r>
              <w:rPr>
                <w:spacing w:val="-2"/>
              </w:rPr>
              <w:t>65.00</w:t>
            </w:r>
          </w:p>
        </w:tc>
      </w:tr>
      <w:tr>
        <w:trPr>
          <w:trHeight w:val="324" w:hRule="atLeast"/>
        </w:trPr>
        <w:tc>
          <w:tcPr>
            <w:tcW w:w="4171" w:type="dxa"/>
            <w:vAlign w:val="top"/>
          </w:tcPr>
          <w:p>
            <w:pPr>
              <w:pStyle w:val="TableText"/>
              <w:ind w:left="105"/>
              <w:spacing w:before="67" w:line="217" w:lineRule="auto"/>
              <w:rPr/>
            </w:pPr>
            <w:r>
              <w:rPr>
                <w:spacing w:val="-6"/>
              </w:rPr>
              <w:t>收  入  总  计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ind w:left="464"/>
              <w:spacing w:before="96" w:line="184" w:lineRule="auto"/>
              <w:rPr/>
            </w:pPr>
            <w:r>
              <w:rPr>
                <w:spacing w:val="-3"/>
              </w:rPr>
              <w:t>1,300.23</w:t>
            </w:r>
          </w:p>
        </w:tc>
        <w:tc>
          <w:tcPr>
            <w:tcW w:w="4156" w:type="dxa"/>
            <w:vAlign w:val="top"/>
          </w:tcPr>
          <w:p>
            <w:pPr>
              <w:pStyle w:val="TableText"/>
              <w:ind w:left="495"/>
              <w:spacing w:before="68" w:line="216" w:lineRule="auto"/>
              <w:rPr/>
            </w:pPr>
            <w:r>
              <w:rPr>
                <w:spacing w:val="-6"/>
              </w:rPr>
              <w:t>支出</w:t>
            </w:r>
            <w:r>
              <w:rPr>
                <w:spacing w:val="6"/>
              </w:rPr>
              <w:t xml:space="preserve">  </w:t>
            </w:r>
            <w:r>
              <w:rPr>
                <w:spacing w:val="-6"/>
              </w:rPr>
              <w:t>总</w:t>
            </w:r>
            <w:r>
              <w:rPr>
                <w:spacing w:val="5"/>
              </w:rPr>
              <w:t xml:space="preserve">  </w:t>
            </w:r>
            <w:r>
              <w:rPr>
                <w:spacing w:val="-6"/>
              </w:rPr>
              <w:t>计</w:t>
            </w:r>
          </w:p>
        </w:tc>
        <w:tc>
          <w:tcPr>
            <w:tcW w:w="1404" w:type="dxa"/>
            <w:vAlign w:val="top"/>
          </w:tcPr>
          <w:p>
            <w:pPr>
              <w:pStyle w:val="TableText"/>
              <w:ind w:left="479"/>
              <w:spacing w:before="96" w:line="184" w:lineRule="auto"/>
              <w:rPr/>
            </w:pPr>
            <w:r>
              <w:rPr>
                <w:spacing w:val="-3"/>
              </w:rPr>
              <w:t>1,300.23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10" w:h="16840"/>
          <w:pgMar w:top="722" w:right="345" w:bottom="1116" w:left="414" w:header="0" w:footer="98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5" w:line="222" w:lineRule="auto"/>
        <w:jc w:val="right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13"/>
        </w:rPr>
        <w:t>公开表5</w:t>
      </w:r>
    </w:p>
    <w:p>
      <w:pPr>
        <w:ind w:left="2241"/>
        <w:spacing w:before="93" w:line="222" w:lineRule="auto"/>
        <w:outlineLvl w:val="1"/>
        <w:rPr>
          <w:rFonts w:ascii="FangSong" w:hAnsi="FangSong" w:eastAsia="FangSong" w:cs="FangSong"/>
          <w:sz w:val="43"/>
          <w:szCs w:val="43"/>
        </w:rPr>
      </w:pPr>
      <w:bookmarkStart w:name="bookmark37" w:id="68"/>
      <w:bookmarkEnd w:id="68"/>
      <w:bookmarkStart w:name="bookmark21" w:id="69"/>
      <w:bookmarkEnd w:id="69"/>
      <w:r>
        <w:rPr>
          <w:rFonts w:ascii="FangSong" w:hAnsi="FangSong" w:eastAsia="FangSong" w:cs="FangSong"/>
          <w:sz w:val="43"/>
          <w:szCs w:val="43"/>
          <w:b/>
          <w:bCs/>
        </w:rPr>
        <w:t>2025年部门一般公共预算支出表</w:t>
      </w:r>
    </w:p>
    <w:p>
      <w:pPr>
        <w:pStyle w:val="BodyText"/>
        <w:ind w:left="145"/>
        <w:spacing w:before="94" w:line="220" w:lineRule="auto"/>
        <w:rPr>
          <w:sz w:val="20"/>
          <w:szCs w:val="20"/>
        </w:rPr>
      </w:pPr>
      <w:r>
        <w:rPr>
          <w:sz w:val="20"/>
          <w:szCs w:val="20"/>
          <w:spacing w:val="1"/>
        </w:rPr>
        <w:t>部门名称：台州市新闻传媒中心                           </w:t>
      </w:r>
      <w:r>
        <w:rPr>
          <w:sz w:val="20"/>
          <w:szCs w:val="20"/>
        </w:rPr>
        <w:t xml:space="preserve">                                     单位：万元</w:t>
      </w:r>
    </w:p>
    <w:p>
      <w:pPr>
        <w:spacing w:line="97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46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14"/>
        <w:gridCol w:w="2697"/>
        <w:gridCol w:w="1508"/>
        <w:gridCol w:w="1369"/>
        <w:gridCol w:w="1269"/>
        <w:gridCol w:w="1109"/>
        <w:gridCol w:w="1094"/>
      </w:tblGrid>
      <w:tr>
        <w:trPr>
          <w:trHeight w:val="314" w:hRule="atLeast"/>
        </w:trPr>
        <w:tc>
          <w:tcPr>
            <w:tcW w:w="1414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5"/>
              <w:spacing w:before="65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科目编码</w:t>
            </w:r>
          </w:p>
        </w:tc>
        <w:tc>
          <w:tcPr>
            <w:tcW w:w="2697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1"/>
              <w:spacing w:before="65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科目名称</w:t>
            </w:r>
          </w:p>
        </w:tc>
        <w:tc>
          <w:tcPr>
            <w:tcW w:w="1508" w:type="dxa"/>
            <w:vAlign w:val="top"/>
            <w:vMerge w:val="restart"/>
            <w:tcBorders>
              <w:bottom w:val="nil"/>
            </w:tcBorders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65" w:line="22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5"/>
              </w:rPr>
              <w:t>合</w:t>
            </w:r>
            <w:r>
              <w:rPr>
                <w:sz w:val="20"/>
                <w:szCs w:val="20"/>
                <w:spacing w:val="4"/>
              </w:rPr>
              <w:t xml:space="preserve">  </w:t>
            </w:r>
            <w:r>
              <w:rPr>
                <w:sz w:val="20"/>
                <w:szCs w:val="20"/>
                <w:spacing w:val="-5"/>
              </w:rPr>
              <w:t>计</w:t>
            </w:r>
          </w:p>
        </w:tc>
        <w:tc>
          <w:tcPr>
            <w:tcW w:w="3747" w:type="dxa"/>
            <w:vAlign w:val="top"/>
            <w:gridSpan w:val="3"/>
          </w:tcPr>
          <w:p>
            <w:pPr>
              <w:pStyle w:val="TableText"/>
              <w:ind w:left="1476"/>
              <w:spacing w:before="61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基本支出</w:t>
            </w:r>
          </w:p>
        </w:tc>
        <w:tc>
          <w:tcPr>
            <w:tcW w:w="1094" w:type="dxa"/>
            <w:vAlign w:val="top"/>
            <w:vMerge w:val="restart"/>
            <w:tcBorders>
              <w:bottom w:val="nil"/>
            </w:tcBorders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项目支出</w:t>
            </w:r>
          </w:p>
        </w:tc>
      </w:tr>
      <w:tr>
        <w:trPr>
          <w:trHeight w:val="619" w:hRule="atLeast"/>
        </w:trPr>
        <w:tc>
          <w:tcPr>
            <w:tcW w:w="141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9" w:type="dxa"/>
            <w:vAlign w:val="top"/>
          </w:tcPr>
          <w:p>
            <w:pPr>
              <w:pStyle w:val="TableText"/>
              <w:ind w:left="476"/>
              <w:spacing w:before="210" w:line="22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4"/>
              </w:rPr>
              <w:t>小计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227"/>
              <w:spacing w:before="209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人员经费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348" w:right="126" w:hanging="200"/>
              <w:spacing w:before="80" w:line="24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日常公用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pacing w:val="12"/>
              </w:rPr>
              <w:t>支出</w:t>
            </w:r>
          </w:p>
        </w:tc>
        <w:tc>
          <w:tcPr>
            <w:tcW w:w="10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1414" w:type="dxa"/>
            <w:vAlign w:val="top"/>
          </w:tcPr>
          <w:p>
            <w:pPr>
              <w:pStyle w:val="TableText"/>
              <w:ind w:left="595"/>
              <w:spacing w:before="80" w:line="20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**</w:t>
            </w:r>
          </w:p>
        </w:tc>
        <w:tc>
          <w:tcPr>
            <w:tcW w:w="2697" w:type="dxa"/>
            <w:vAlign w:val="top"/>
          </w:tcPr>
          <w:p>
            <w:pPr>
              <w:pStyle w:val="TableText"/>
              <w:ind w:left="1231"/>
              <w:spacing w:before="80" w:line="20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**</w:t>
            </w:r>
          </w:p>
        </w:tc>
        <w:tc>
          <w:tcPr>
            <w:tcW w:w="1508" w:type="dxa"/>
            <w:vAlign w:val="top"/>
          </w:tcPr>
          <w:p>
            <w:pPr>
              <w:pStyle w:val="TableText"/>
              <w:ind w:left="674"/>
              <w:spacing w:before="110" w:line="17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9" w:type="dxa"/>
            <w:vAlign w:val="top"/>
          </w:tcPr>
          <w:p>
            <w:pPr>
              <w:pStyle w:val="TableText"/>
              <w:ind w:left="626"/>
              <w:spacing w:before="111" w:line="17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vAlign w:val="top"/>
          </w:tcPr>
          <w:p>
            <w:pPr>
              <w:pStyle w:val="TableText"/>
              <w:ind w:left="577"/>
              <w:spacing w:before="111" w:line="17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9" w:type="dxa"/>
            <w:vAlign w:val="top"/>
          </w:tcPr>
          <w:p>
            <w:pPr>
              <w:pStyle w:val="TableText"/>
              <w:ind w:left="498"/>
              <w:spacing w:before="111" w:line="17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4" w:type="dxa"/>
            <w:vAlign w:val="top"/>
          </w:tcPr>
          <w:p>
            <w:pPr>
              <w:pStyle w:val="TableText"/>
              <w:ind w:left="469"/>
              <w:spacing w:before="112" w:line="17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141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7" w:type="dxa"/>
            <w:vAlign w:val="top"/>
          </w:tcPr>
          <w:p>
            <w:pPr>
              <w:pStyle w:val="TableText"/>
              <w:ind w:left="291"/>
              <w:spacing w:before="52"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合计</w:t>
            </w:r>
          </w:p>
        </w:tc>
        <w:tc>
          <w:tcPr>
            <w:tcW w:w="1508" w:type="dxa"/>
            <w:vAlign w:val="top"/>
          </w:tcPr>
          <w:p>
            <w:pPr>
              <w:pStyle w:val="TableText"/>
              <w:ind w:left="624"/>
              <w:spacing w:before="78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1,235.23</w:t>
            </w:r>
          </w:p>
        </w:tc>
        <w:tc>
          <w:tcPr>
            <w:tcW w:w="13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4" w:type="dxa"/>
            <w:vAlign w:val="top"/>
          </w:tcPr>
          <w:p>
            <w:pPr>
              <w:pStyle w:val="TableText"/>
              <w:ind w:right="17"/>
              <w:spacing w:before="78" w:line="18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1,235.23</w:t>
            </w:r>
          </w:p>
        </w:tc>
      </w:tr>
      <w:tr>
        <w:trPr>
          <w:trHeight w:val="329" w:hRule="atLeast"/>
        </w:trPr>
        <w:tc>
          <w:tcPr>
            <w:tcW w:w="1414" w:type="dxa"/>
            <w:vAlign w:val="top"/>
          </w:tcPr>
          <w:p>
            <w:pPr>
              <w:pStyle w:val="TableText"/>
              <w:ind w:left="95"/>
              <w:spacing w:before="124" w:line="1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207</w:t>
            </w:r>
          </w:p>
        </w:tc>
        <w:tc>
          <w:tcPr>
            <w:tcW w:w="2697" w:type="dxa"/>
            <w:vAlign w:val="top"/>
          </w:tcPr>
          <w:p>
            <w:pPr>
              <w:pStyle w:val="TableText"/>
              <w:ind w:left="291"/>
              <w:spacing w:before="71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文化旅游体育与传媒支出</w:t>
            </w:r>
          </w:p>
        </w:tc>
        <w:tc>
          <w:tcPr>
            <w:tcW w:w="1508" w:type="dxa"/>
            <w:vAlign w:val="top"/>
          </w:tcPr>
          <w:p>
            <w:pPr>
              <w:pStyle w:val="TableText"/>
              <w:ind w:left="624"/>
              <w:spacing w:before="99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1,235.23</w:t>
            </w:r>
          </w:p>
        </w:tc>
        <w:tc>
          <w:tcPr>
            <w:tcW w:w="13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4" w:type="dxa"/>
            <w:vAlign w:val="top"/>
          </w:tcPr>
          <w:p>
            <w:pPr>
              <w:pStyle w:val="TableText"/>
              <w:ind w:right="17"/>
              <w:spacing w:before="99" w:line="18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1,235.23</w:t>
            </w:r>
          </w:p>
        </w:tc>
      </w:tr>
      <w:tr>
        <w:trPr>
          <w:trHeight w:val="309" w:hRule="atLeast"/>
        </w:trPr>
        <w:tc>
          <w:tcPr>
            <w:tcW w:w="1414" w:type="dxa"/>
            <w:vAlign w:val="top"/>
          </w:tcPr>
          <w:p>
            <w:pPr>
              <w:pStyle w:val="TableText"/>
              <w:ind w:left="445"/>
              <w:spacing w:before="114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20708</w:t>
            </w:r>
          </w:p>
        </w:tc>
        <w:tc>
          <w:tcPr>
            <w:tcW w:w="2697" w:type="dxa"/>
            <w:vAlign w:val="top"/>
          </w:tcPr>
          <w:p>
            <w:pPr>
              <w:pStyle w:val="TableText"/>
              <w:ind w:left="291"/>
              <w:spacing w:before="62"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广播电视</w:t>
            </w:r>
          </w:p>
        </w:tc>
        <w:tc>
          <w:tcPr>
            <w:tcW w:w="1508" w:type="dxa"/>
            <w:vAlign w:val="top"/>
          </w:tcPr>
          <w:p>
            <w:pPr>
              <w:pStyle w:val="TableText"/>
              <w:ind w:left="624"/>
              <w:spacing w:before="90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  <w:tc>
          <w:tcPr>
            <w:tcW w:w="13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4" w:type="dxa"/>
            <w:vAlign w:val="top"/>
          </w:tcPr>
          <w:p>
            <w:pPr>
              <w:pStyle w:val="TableText"/>
              <w:ind w:right="17"/>
              <w:spacing w:before="90" w:line="18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</w:tr>
      <w:tr>
        <w:trPr>
          <w:trHeight w:val="299" w:hRule="atLeast"/>
        </w:trPr>
        <w:tc>
          <w:tcPr>
            <w:tcW w:w="1414" w:type="dxa"/>
            <w:vAlign w:val="top"/>
          </w:tcPr>
          <w:p>
            <w:pPr>
              <w:pStyle w:val="TableText"/>
              <w:ind w:left="505"/>
              <w:spacing w:before="105" w:line="16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2070899</w:t>
            </w:r>
          </w:p>
        </w:tc>
        <w:tc>
          <w:tcPr>
            <w:tcW w:w="2697" w:type="dxa"/>
            <w:vAlign w:val="top"/>
          </w:tcPr>
          <w:p>
            <w:pPr>
              <w:pStyle w:val="TableText"/>
              <w:ind w:left="511"/>
              <w:spacing w:before="53" w:line="21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其他广播电视支出</w:t>
            </w:r>
          </w:p>
        </w:tc>
        <w:tc>
          <w:tcPr>
            <w:tcW w:w="1508" w:type="dxa"/>
            <w:vAlign w:val="top"/>
          </w:tcPr>
          <w:p>
            <w:pPr>
              <w:pStyle w:val="TableText"/>
              <w:ind w:left="624"/>
              <w:spacing w:before="81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  <w:tc>
          <w:tcPr>
            <w:tcW w:w="13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4" w:type="dxa"/>
            <w:vAlign w:val="top"/>
          </w:tcPr>
          <w:p>
            <w:pPr>
              <w:pStyle w:val="TableText"/>
              <w:ind w:right="17"/>
              <w:spacing w:before="81" w:line="184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</w:tr>
      <w:tr>
        <w:trPr>
          <w:trHeight w:val="628" w:hRule="atLeast"/>
        </w:trPr>
        <w:tc>
          <w:tcPr>
            <w:tcW w:w="1414" w:type="dxa"/>
            <w:vAlign w:val="top"/>
          </w:tcPr>
          <w:p>
            <w:pPr>
              <w:pStyle w:val="TableText"/>
              <w:ind w:left="445"/>
              <w:spacing w:before="276" w:line="18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20799</w:t>
            </w:r>
          </w:p>
        </w:tc>
        <w:tc>
          <w:tcPr>
            <w:tcW w:w="2697" w:type="dxa"/>
            <w:vAlign w:val="top"/>
          </w:tcPr>
          <w:p>
            <w:pPr>
              <w:pStyle w:val="TableText"/>
              <w:ind w:left="291" w:right="174" w:firstLine="30"/>
              <w:spacing w:before="93" w:line="24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1"/>
              </w:rPr>
              <w:t>其他文化旅游体育与传媒</w:t>
            </w:r>
            <w:r>
              <w:rPr>
                <w:sz w:val="20"/>
                <w:szCs w:val="20"/>
                <w:spacing w:val="1"/>
              </w:rPr>
              <w:t xml:space="preserve"> </w:t>
            </w:r>
            <w:r>
              <w:rPr>
                <w:sz w:val="20"/>
                <w:szCs w:val="20"/>
                <w:spacing w:val="12"/>
              </w:rPr>
              <w:t>支出</w:t>
            </w:r>
          </w:p>
        </w:tc>
        <w:tc>
          <w:tcPr>
            <w:tcW w:w="1508" w:type="dxa"/>
            <w:vAlign w:val="top"/>
          </w:tcPr>
          <w:p>
            <w:pPr>
              <w:pStyle w:val="TableText"/>
              <w:ind w:left="824"/>
              <w:spacing w:before="276" w:line="18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  <w:tc>
          <w:tcPr>
            <w:tcW w:w="13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4" w:type="dxa"/>
            <w:vAlign w:val="top"/>
          </w:tcPr>
          <w:p>
            <w:pPr>
              <w:pStyle w:val="TableText"/>
              <w:ind w:right="3"/>
              <w:spacing w:before="276" w:line="183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</w:tr>
      <w:tr>
        <w:trPr>
          <w:trHeight w:val="623" w:hRule="atLeast"/>
        </w:trPr>
        <w:tc>
          <w:tcPr>
            <w:tcW w:w="1414" w:type="dxa"/>
            <w:vAlign w:val="top"/>
          </w:tcPr>
          <w:p>
            <w:pPr>
              <w:pStyle w:val="TableText"/>
              <w:ind w:left="505"/>
              <w:spacing w:before="268" w:line="18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2079999</w:t>
            </w:r>
          </w:p>
        </w:tc>
        <w:tc>
          <w:tcPr>
            <w:tcW w:w="2697" w:type="dxa"/>
            <w:vAlign w:val="top"/>
          </w:tcPr>
          <w:p>
            <w:pPr>
              <w:pStyle w:val="TableText"/>
              <w:ind w:left="291" w:right="184" w:firstLine="219"/>
              <w:spacing w:before="86" w:line="24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1"/>
              </w:rPr>
              <w:t>其他文化旅游体育与传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pacing w:val="8"/>
              </w:rPr>
              <w:t>媒支出</w:t>
            </w:r>
          </w:p>
        </w:tc>
        <w:tc>
          <w:tcPr>
            <w:tcW w:w="1508" w:type="dxa"/>
            <w:vAlign w:val="top"/>
          </w:tcPr>
          <w:p>
            <w:pPr>
              <w:pStyle w:val="TableText"/>
              <w:ind w:left="824"/>
              <w:spacing w:before="268" w:line="18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  <w:tc>
          <w:tcPr>
            <w:tcW w:w="13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94" w:type="dxa"/>
            <w:vAlign w:val="top"/>
          </w:tcPr>
          <w:p>
            <w:pPr>
              <w:pStyle w:val="TableText"/>
              <w:ind w:right="3"/>
              <w:spacing w:before="268" w:line="183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10" w:h="16840"/>
          <w:pgMar w:top="722" w:right="695" w:bottom="1117" w:left="674" w:header="0" w:footer="99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3" w:line="222" w:lineRule="auto"/>
        <w:jc w:val="right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19"/>
        </w:rPr>
        <w:t>公开表6</w:t>
      </w:r>
    </w:p>
    <w:p>
      <w:pPr>
        <w:ind w:left="1791"/>
        <w:spacing w:before="125" w:line="222" w:lineRule="auto"/>
        <w:outlineLvl w:val="1"/>
        <w:rPr>
          <w:rFonts w:ascii="FangSong" w:hAnsi="FangSong" w:eastAsia="FangSong" w:cs="FangSong"/>
          <w:sz w:val="43"/>
          <w:szCs w:val="43"/>
        </w:rPr>
      </w:pPr>
      <w:bookmarkStart w:name="bookmark38" w:id="70"/>
      <w:bookmarkEnd w:id="70"/>
      <w:bookmarkStart w:name="bookmark22" w:id="71"/>
      <w:bookmarkEnd w:id="71"/>
      <w:r>
        <w:rPr>
          <w:rFonts w:ascii="FangSong" w:hAnsi="FangSong" w:eastAsia="FangSong" w:cs="FangSong"/>
          <w:sz w:val="43"/>
          <w:szCs w:val="43"/>
          <w:b/>
          <w:bCs/>
        </w:rPr>
        <w:t>2025年部门一般公共预算基本支出表</w:t>
      </w:r>
    </w:p>
    <w:p>
      <w:pPr>
        <w:pStyle w:val="BodyText"/>
        <w:ind w:left="135"/>
        <w:spacing w:before="95" w:line="227" w:lineRule="auto"/>
        <w:rPr>
          <w:sz w:val="20"/>
          <w:szCs w:val="20"/>
        </w:rPr>
      </w:pPr>
      <w:r>
        <w:rPr>
          <w:sz w:val="20"/>
          <w:szCs w:val="20"/>
          <w:spacing w:val="1"/>
        </w:rPr>
        <w:t>部门名称：台州市新闻传媒中心                 </w:t>
      </w:r>
      <w:r>
        <w:rPr>
          <w:sz w:val="20"/>
          <w:szCs w:val="20"/>
        </w:rPr>
        <w:t xml:space="preserve">                                               单位：万元</w:t>
      </w:r>
    </w:p>
    <w:p>
      <w:pPr>
        <w:spacing w:line="40" w:lineRule="exact"/>
        <w:rPr/>
      </w:pPr>
      <w:r/>
    </w:p>
    <w:tbl>
      <w:tblPr>
        <w:tblStyle w:val="TableNormal"/>
        <w:tblW w:w="1046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64"/>
        <w:gridCol w:w="3846"/>
        <w:gridCol w:w="1678"/>
        <w:gridCol w:w="1728"/>
        <w:gridCol w:w="1544"/>
      </w:tblGrid>
      <w:tr>
        <w:trPr>
          <w:trHeight w:val="303" w:hRule="atLeast"/>
        </w:trPr>
        <w:tc>
          <w:tcPr>
            <w:tcW w:w="5510" w:type="dxa"/>
            <w:vAlign w:val="top"/>
            <w:gridSpan w:val="2"/>
          </w:tcPr>
          <w:p>
            <w:pPr>
              <w:pStyle w:val="TableText"/>
              <w:ind w:left="2185"/>
              <w:spacing w:before="52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经济分类科目</w:t>
            </w:r>
          </w:p>
        </w:tc>
        <w:tc>
          <w:tcPr>
            <w:tcW w:w="4950" w:type="dxa"/>
            <w:vAlign w:val="top"/>
            <w:gridSpan w:val="3"/>
          </w:tcPr>
          <w:p>
            <w:pPr>
              <w:pStyle w:val="TableText"/>
              <w:ind w:left="1285"/>
              <w:spacing w:before="52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本年一般公共预算基本支出</w:t>
            </w:r>
          </w:p>
        </w:tc>
      </w:tr>
      <w:tr>
        <w:trPr>
          <w:trHeight w:val="328" w:hRule="atLeast"/>
        </w:trPr>
        <w:tc>
          <w:tcPr>
            <w:tcW w:w="1664" w:type="dxa"/>
            <w:vAlign w:val="top"/>
          </w:tcPr>
          <w:p>
            <w:pPr>
              <w:pStyle w:val="TableText"/>
              <w:ind w:left="425"/>
              <w:spacing w:before="68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科目编码</w:t>
            </w:r>
          </w:p>
        </w:tc>
        <w:tc>
          <w:tcPr>
            <w:tcW w:w="3846" w:type="dxa"/>
            <w:vAlign w:val="top"/>
          </w:tcPr>
          <w:p>
            <w:pPr>
              <w:pStyle w:val="TableText"/>
              <w:ind w:left="1511"/>
              <w:spacing w:before="68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科目名称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635"/>
              <w:spacing w:before="71" w:line="22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合计</w:t>
            </w:r>
          </w:p>
        </w:tc>
        <w:tc>
          <w:tcPr>
            <w:tcW w:w="1728" w:type="dxa"/>
            <w:vAlign w:val="top"/>
          </w:tcPr>
          <w:p>
            <w:pPr>
              <w:pStyle w:val="TableText"/>
              <w:ind w:left="457"/>
              <w:spacing w:before="70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人员经费</w:t>
            </w:r>
          </w:p>
        </w:tc>
        <w:tc>
          <w:tcPr>
            <w:tcW w:w="1544" w:type="dxa"/>
            <w:vAlign w:val="top"/>
          </w:tcPr>
          <w:p>
            <w:pPr>
              <w:pStyle w:val="TableText"/>
              <w:ind w:left="169"/>
              <w:spacing w:before="70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4"/>
              </w:rPr>
              <w:t>日常公用支出</w:t>
            </w:r>
          </w:p>
        </w:tc>
      </w:tr>
      <w:tr>
        <w:trPr>
          <w:trHeight w:val="308" w:hRule="atLeast"/>
        </w:trPr>
        <w:tc>
          <w:tcPr>
            <w:tcW w:w="1664" w:type="dxa"/>
            <w:vAlign w:val="top"/>
          </w:tcPr>
          <w:p>
            <w:pPr>
              <w:pStyle w:val="TableText"/>
              <w:ind w:left="765"/>
              <w:spacing w:before="109" w:line="153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  <w:spacing w:val="-1"/>
                <w:position w:val="1"/>
              </w:rPr>
              <w:t>**</w:t>
            </w:r>
          </w:p>
        </w:tc>
        <w:tc>
          <w:tcPr>
            <w:tcW w:w="3846" w:type="dxa"/>
            <w:vAlign w:val="top"/>
          </w:tcPr>
          <w:p>
            <w:pPr>
              <w:pStyle w:val="TableText"/>
              <w:ind w:left="1861"/>
              <w:spacing w:before="109" w:line="153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  <w:spacing w:val="-1"/>
                <w:position w:val="1"/>
              </w:rPr>
              <w:t>**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ind w:left="785"/>
              <w:spacing w:before="112" w:line="17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28" w:type="dxa"/>
            <w:vAlign w:val="top"/>
          </w:tcPr>
          <w:p>
            <w:pPr>
              <w:pStyle w:val="TableText"/>
              <w:ind w:left="807"/>
              <w:spacing w:before="113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4" w:type="dxa"/>
            <w:vAlign w:val="top"/>
          </w:tcPr>
          <w:p>
            <w:pPr>
              <w:pStyle w:val="TableText"/>
              <w:ind w:left="719"/>
              <w:spacing w:before="113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308" w:hRule="atLeast"/>
        </w:trPr>
        <w:tc>
          <w:tcPr>
            <w:tcW w:w="16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6" w:type="dxa"/>
            <w:vAlign w:val="top"/>
          </w:tcPr>
          <w:p>
            <w:pPr>
              <w:pStyle w:val="TableText"/>
              <w:ind w:left="101"/>
              <w:spacing w:before="65" w:line="21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合计</w:t>
            </w:r>
          </w:p>
        </w:tc>
        <w:tc>
          <w:tcPr>
            <w:tcW w:w="16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9" w:hRule="atLeast"/>
        </w:trPr>
        <w:tc>
          <w:tcPr>
            <w:tcW w:w="16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3" w:hRule="atLeast"/>
        </w:trPr>
        <w:tc>
          <w:tcPr>
            <w:tcW w:w="16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55"/>
        <w:spacing w:before="61" w:line="222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-11"/>
        </w:rPr>
        <w:t>备注：本部门没有一般公共预算预算基本支出拨款安排的支出，故本表无数据。</w:t>
      </w:r>
    </w:p>
    <w:p>
      <w:pPr>
        <w:spacing w:line="222" w:lineRule="auto"/>
        <w:sectPr>
          <w:footerReference w:type="default" r:id="rId17"/>
          <w:pgSz w:w="11910" w:h="16840"/>
          <w:pgMar w:top="714" w:right="708" w:bottom="1117" w:left="684" w:header="0" w:footer="991" w:gutter="0"/>
        </w:sectPr>
        <w:rPr>
          <w:rFonts w:ascii="FangSong" w:hAnsi="FangSong" w:eastAsia="FangSong" w:cs="FangSong"/>
          <w:sz w:val="21"/>
          <w:szCs w:val="21"/>
        </w:rPr>
      </w:pPr>
    </w:p>
    <w:p>
      <w:pPr>
        <w:ind w:right="3"/>
        <w:spacing w:before="37" w:line="222" w:lineRule="auto"/>
        <w:jc w:val="right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spacing w:val="-11"/>
        </w:rPr>
        <w:t>公</w:t>
      </w:r>
      <w:r>
        <w:rPr>
          <w:rFonts w:ascii="FangSong" w:hAnsi="FangSong" w:eastAsia="FangSong" w:cs="FangSong"/>
          <w:sz w:val="18"/>
          <w:szCs w:val="18"/>
          <w:spacing w:val="-17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1"/>
        </w:rPr>
        <w:t>开</w:t>
      </w:r>
      <w:r>
        <w:rPr>
          <w:rFonts w:ascii="FangSong" w:hAnsi="FangSong" w:eastAsia="FangSong" w:cs="FangSong"/>
          <w:sz w:val="18"/>
          <w:szCs w:val="18"/>
          <w:spacing w:val="-18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1"/>
        </w:rPr>
        <w:t>表</w:t>
      </w:r>
      <w:r>
        <w:rPr>
          <w:rFonts w:ascii="FangSong" w:hAnsi="FangSong" w:eastAsia="FangSong" w:cs="FangSong"/>
          <w:sz w:val="18"/>
          <w:szCs w:val="18"/>
          <w:spacing w:val="-2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11"/>
        </w:rPr>
        <w:t>7</w:t>
      </w:r>
    </w:p>
    <w:p>
      <w:pPr>
        <w:ind w:left="1086"/>
        <w:spacing w:before="122" w:line="222" w:lineRule="auto"/>
        <w:outlineLvl w:val="1"/>
        <w:rPr>
          <w:rFonts w:ascii="FangSong" w:hAnsi="FangSong" w:eastAsia="FangSong" w:cs="FangSong"/>
          <w:sz w:val="42"/>
          <w:szCs w:val="42"/>
        </w:rPr>
      </w:pPr>
      <w:bookmarkStart w:name="bookmark39" w:id="72"/>
      <w:bookmarkEnd w:id="72"/>
      <w:bookmarkStart w:name="bookmark23" w:id="73"/>
      <w:bookmarkEnd w:id="73"/>
      <w:r>
        <w:rPr>
          <w:rFonts w:ascii="FangSong" w:hAnsi="FangSong" w:eastAsia="FangSong" w:cs="FangSong"/>
          <w:sz w:val="42"/>
          <w:szCs w:val="42"/>
          <w:b/>
          <w:bCs/>
          <w:spacing w:val="10"/>
        </w:rPr>
        <w:t>2025年部门一般公共预算"三公"经费支出表</w:t>
      </w:r>
    </w:p>
    <w:p>
      <w:pPr>
        <w:pStyle w:val="BodyText"/>
        <w:ind w:left="190"/>
        <w:spacing w:before="97" w:line="220" w:lineRule="auto"/>
        <w:rPr>
          <w:sz w:val="21"/>
          <w:szCs w:val="21"/>
        </w:rPr>
      </w:pPr>
      <w:r>
        <w:rPr>
          <w:sz w:val="21"/>
          <w:szCs w:val="21"/>
          <w:spacing w:val="1"/>
        </w:rPr>
        <w:t>部门名称：台州市新闻传媒中心                                          </w:t>
      </w:r>
      <w:r>
        <w:rPr>
          <w:sz w:val="21"/>
          <w:szCs w:val="21"/>
        </w:rPr>
        <w:t xml:space="preserve">                 单位：万元</w:t>
      </w:r>
    </w:p>
    <w:p>
      <w:pPr>
        <w:spacing w:line="37" w:lineRule="exact"/>
        <w:rPr/>
      </w:pPr>
      <w:r/>
    </w:p>
    <w:tbl>
      <w:tblPr>
        <w:tblStyle w:val="TableNormal"/>
        <w:tblW w:w="10430" w:type="dxa"/>
        <w:tblInd w:w="5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282"/>
        <w:gridCol w:w="1299"/>
        <w:gridCol w:w="1338"/>
        <w:gridCol w:w="1289"/>
        <w:gridCol w:w="1089"/>
        <w:gridCol w:w="1159"/>
        <w:gridCol w:w="974"/>
      </w:tblGrid>
      <w:tr>
        <w:trPr>
          <w:trHeight w:val="323" w:hRule="atLeast"/>
        </w:trPr>
        <w:tc>
          <w:tcPr>
            <w:tcW w:w="3282" w:type="dxa"/>
            <w:vAlign w:val="top"/>
            <w:vMerge w:val="restart"/>
            <w:tcBorders>
              <w:bottom w:val="nil"/>
            </w:tcBorders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5"/>
              <w:spacing w:before="65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单位名称</w:t>
            </w:r>
          </w:p>
        </w:tc>
        <w:tc>
          <w:tcPr>
            <w:tcW w:w="1299" w:type="dxa"/>
            <w:vAlign w:val="top"/>
            <w:vMerge w:val="restart"/>
            <w:tcBorders>
              <w:bottom w:val="nil"/>
            </w:tcBorders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3" w:right="27" w:hanging="190"/>
              <w:spacing w:before="65" w:line="26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1"/>
              </w:rPr>
              <w:t>“三公”经</w:t>
            </w:r>
            <w:r>
              <w:rPr>
                <w:sz w:val="20"/>
                <w:szCs w:val="20"/>
                <w:spacing w:val="2"/>
              </w:rPr>
              <w:t xml:space="preserve"> </w:t>
            </w:r>
            <w:r>
              <w:rPr>
                <w:sz w:val="20"/>
                <w:szCs w:val="20"/>
                <w:spacing w:val="2"/>
              </w:rPr>
              <w:t>费合计</w:t>
            </w:r>
          </w:p>
        </w:tc>
        <w:tc>
          <w:tcPr>
            <w:tcW w:w="1338" w:type="dxa"/>
            <w:vAlign w:val="top"/>
            <w:vMerge w:val="restart"/>
            <w:tcBorders>
              <w:bottom w:val="nil"/>
            </w:tcBorders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3" w:right="239"/>
              <w:spacing w:before="65" w:line="26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5"/>
              </w:rPr>
              <w:t>因公出国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pacing w:val="4"/>
              </w:rPr>
              <w:t>(境)费用</w:t>
            </w:r>
          </w:p>
        </w:tc>
        <w:tc>
          <w:tcPr>
            <w:tcW w:w="3537" w:type="dxa"/>
            <w:vAlign w:val="top"/>
            <w:gridSpan w:val="3"/>
          </w:tcPr>
          <w:p>
            <w:pPr>
              <w:pStyle w:val="TableText"/>
              <w:ind w:left="775"/>
              <w:spacing w:before="63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1"/>
              </w:rPr>
              <w:t>公务用车购置及运行费</w:t>
            </w:r>
          </w:p>
        </w:tc>
        <w:tc>
          <w:tcPr>
            <w:tcW w:w="974" w:type="dxa"/>
            <w:vAlign w:val="top"/>
            <w:vMerge w:val="restart"/>
            <w:tcBorders>
              <w:bottom w:val="nil"/>
            </w:tcBorders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公务接</w:t>
            </w:r>
          </w:p>
          <w:p>
            <w:pPr>
              <w:pStyle w:val="TableText"/>
              <w:ind w:left="278"/>
              <w:spacing w:before="82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待费</w:t>
            </w:r>
          </w:p>
        </w:tc>
      </w:tr>
      <w:tr>
        <w:trPr>
          <w:trHeight w:val="906" w:hRule="atLeast"/>
        </w:trPr>
        <w:tc>
          <w:tcPr>
            <w:tcW w:w="328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6"/>
              <w:spacing w:before="65" w:line="22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4"/>
              </w:rPr>
              <w:t>小计</w:t>
            </w:r>
          </w:p>
        </w:tc>
        <w:tc>
          <w:tcPr>
            <w:tcW w:w="1089" w:type="dxa"/>
            <w:vAlign w:val="top"/>
          </w:tcPr>
          <w:p>
            <w:pPr>
              <w:pStyle w:val="TableText"/>
              <w:ind w:left="237" w:right="133" w:hanging="100"/>
              <w:spacing w:before="209" w:line="26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公务用车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pacing w:val="-2"/>
              </w:rPr>
              <w:t>购置费</w:t>
            </w:r>
          </w:p>
        </w:tc>
        <w:tc>
          <w:tcPr>
            <w:tcW w:w="1159" w:type="dxa"/>
            <w:vAlign w:val="top"/>
          </w:tcPr>
          <w:p>
            <w:pPr>
              <w:pStyle w:val="TableText"/>
              <w:ind w:left="178"/>
              <w:spacing w:before="50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公务用车</w:t>
            </w:r>
          </w:p>
          <w:p>
            <w:pPr>
              <w:pStyle w:val="TableText"/>
              <w:ind w:left="178"/>
              <w:spacing w:before="73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运行维护</w:t>
            </w:r>
          </w:p>
          <w:p>
            <w:pPr>
              <w:pStyle w:val="TableText"/>
              <w:ind w:left="478"/>
              <w:spacing w:before="71" w:line="20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费</w:t>
            </w:r>
          </w:p>
        </w:tc>
        <w:tc>
          <w:tcPr>
            <w:tcW w:w="97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8" w:hRule="atLeast"/>
        </w:trPr>
        <w:tc>
          <w:tcPr>
            <w:tcW w:w="3282" w:type="dxa"/>
            <w:vAlign w:val="top"/>
          </w:tcPr>
          <w:p>
            <w:pPr>
              <w:pStyle w:val="TableText"/>
              <w:ind w:left="1544"/>
              <w:spacing w:before="121" w:line="153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  <w:spacing w:val="-1"/>
                <w:position w:val="1"/>
              </w:rPr>
              <w:t>**</w:t>
            </w:r>
          </w:p>
        </w:tc>
        <w:tc>
          <w:tcPr>
            <w:tcW w:w="1299" w:type="dxa"/>
            <w:vAlign w:val="top"/>
          </w:tcPr>
          <w:p>
            <w:pPr>
              <w:pStyle w:val="TableText"/>
              <w:ind w:left="593"/>
              <w:spacing w:before="125" w:line="17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8" w:type="dxa"/>
            <w:vAlign w:val="top"/>
          </w:tcPr>
          <w:p>
            <w:pPr>
              <w:pStyle w:val="TableText"/>
              <w:ind w:left="614"/>
              <w:spacing w:before="126" w:line="17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6"/>
              <w:spacing w:before="126" w:line="17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9" w:type="dxa"/>
            <w:vAlign w:val="top"/>
          </w:tcPr>
          <w:p>
            <w:pPr>
              <w:pStyle w:val="TableText"/>
              <w:ind w:left="487"/>
              <w:spacing w:before="126" w:line="17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9" w:type="dxa"/>
            <w:vAlign w:val="top"/>
          </w:tcPr>
          <w:p>
            <w:pPr>
              <w:pStyle w:val="TableText"/>
              <w:ind w:left="528"/>
              <w:spacing w:before="127" w:line="1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ind w:left="429"/>
              <w:spacing w:before="126" w:line="17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>
          <w:trHeight w:val="299" w:hRule="atLeast"/>
        </w:trPr>
        <w:tc>
          <w:tcPr>
            <w:tcW w:w="3282" w:type="dxa"/>
            <w:vAlign w:val="top"/>
          </w:tcPr>
          <w:p>
            <w:pPr>
              <w:pStyle w:val="TableText"/>
              <w:ind w:left="115"/>
              <w:spacing w:before="57" w:line="21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合计</w:t>
            </w: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3" w:hRule="atLeast"/>
        </w:trPr>
        <w:tc>
          <w:tcPr>
            <w:tcW w:w="3282" w:type="dxa"/>
            <w:vAlign w:val="top"/>
          </w:tcPr>
          <w:p>
            <w:pPr>
              <w:pStyle w:val="TableText"/>
              <w:ind w:left="115"/>
              <w:spacing w:before="66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台州市新闻传媒中心(本级)</w:t>
            </w: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before="71" w:line="222" w:lineRule="auto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spacing w:val="25"/>
        </w:rPr>
        <w:t>注：不含教学科研人员学术交流因公出国(境)费用。</w:t>
      </w:r>
    </w:p>
    <w:p>
      <w:pPr>
        <w:ind w:left="420"/>
        <w:spacing w:before="122" w:line="222" w:lineRule="auto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spacing w:val="18"/>
        </w:rPr>
        <w:t>本部门没有一般公共预算安排的“三公”经费支出，故本表无数</w:t>
      </w:r>
      <w:r>
        <w:rPr>
          <w:rFonts w:ascii="FangSong" w:hAnsi="FangSong" w:eastAsia="FangSong" w:cs="FangSong"/>
          <w:sz w:val="18"/>
          <w:szCs w:val="18"/>
          <w:spacing w:val="17"/>
        </w:rPr>
        <w:t>据。</w:t>
      </w:r>
    </w:p>
    <w:p>
      <w:pPr>
        <w:spacing w:line="222" w:lineRule="auto"/>
        <w:sectPr>
          <w:footerReference w:type="default" r:id="rId18"/>
          <w:pgSz w:w="11910" w:h="16840"/>
          <w:pgMar w:top="769" w:right="704" w:bottom="1117" w:left="719" w:header="0" w:footer="991" w:gutter="0"/>
        </w:sectPr>
        <w:rPr>
          <w:rFonts w:ascii="FangSong" w:hAnsi="FangSong" w:eastAsia="FangSong" w:cs="FangSong"/>
          <w:sz w:val="18"/>
          <w:szCs w:val="18"/>
        </w:rPr>
      </w:pPr>
    </w:p>
    <w:p>
      <w:pPr>
        <w:spacing w:before="43" w:line="222" w:lineRule="auto"/>
        <w:jc w:val="right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19"/>
        </w:rPr>
        <w:t>公开表8</w:t>
      </w:r>
    </w:p>
    <w:p>
      <w:pPr>
        <w:ind w:left="1981"/>
        <w:spacing w:before="123" w:line="220" w:lineRule="auto"/>
        <w:outlineLvl w:val="1"/>
        <w:rPr>
          <w:rFonts w:ascii="FangSong" w:hAnsi="FangSong" w:eastAsia="FangSong" w:cs="FangSong"/>
          <w:sz w:val="43"/>
          <w:szCs w:val="43"/>
        </w:rPr>
      </w:pPr>
      <w:bookmarkStart w:name="bookmark40" w:id="74"/>
      <w:bookmarkEnd w:id="74"/>
      <w:bookmarkStart w:name="bookmark24" w:id="75"/>
      <w:bookmarkEnd w:id="75"/>
      <w:r>
        <w:rPr>
          <w:rFonts w:ascii="FangSong" w:hAnsi="FangSong" w:eastAsia="FangSong" w:cs="FangSong"/>
          <w:sz w:val="43"/>
          <w:szCs w:val="43"/>
          <w:b/>
          <w:bCs/>
        </w:rPr>
        <w:t>2025年部门政府性基金预算支出表</w:t>
      </w:r>
    </w:p>
    <w:p>
      <w:pPr>
        <w:pStyle w:val="BodyText"/>
        <w:ind w:left="135"/>
        <w:spacing w:before="82" w:line="217" w:lineRule="auto"/>
        <w:rPr>
          <w:sz w:val="21"/>
          <w:szCs w:val="21"/>
        </w:rPr>
      </w:pPr>
      <w:r>
        <w:rPr>
          <w:sz w:val="21"/>
          <w:szCs w:val="21"/>
        </w:rPr>
        <w:t>部门名称：台州市新闻传媒中心                                                            单位：万元</w:t>
      </w:r>
    </w:p>
    <w:tbl>
      <w:tblPr>
        <w:tblStyle w:val="TableNormal"/>
        <w:tblW w:w="1046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563"/>
        <w:gridCol w:w="4336"/>
        <w:gridCol w:w="2008"/>
        <w:gridCol w:w="1289"/>
        <w:gridCol w:w="1264"/>
      </w:tblGrid>
      <w:tr>
        <w:trPr>
          <w:trHeight w:val="303" w:hRule="atLeast"/>
        </w:trPr>
        <w:tc>
          <w:tcPr>
            <w:tcW w:w="156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75"/>
              <w:spacing w:before="221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科目编码</w:t>
            </w:r>
          </w:p>
        </w:tc>
        <w:tc>
          <w:tcPr>
            <w:tcW w:w="433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762"/>
              <w:spacing w:before="221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科目名称</w:t>
            </w:r>
          </w:p>
        </w:tc>
        <w:tc>
          <w:tcPr>
            <w:tcW w:w="4561" w:type="dxa"/>
            <w:vAlign w:val="top"/>
            <w:gridSpan w:val="3"/>
          </w:tcPr>
          <w:p>
            <w:pPr>
              <w:pStyle w:val="TableText"/>
              <w:ind w:left="1196"/>
              <w:spacing w:before="51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本年政府性基金预算支出</w:t>
            </w:r>
          </w:p>
        </w:tc>
      </w:tr>
      <w:tr>
        <w:trPr>
          <w:trHeight w:val="318" w:hRule="atLeast"/>
        </w:trPr>
        <w:tc>
          <w:tcPr>
            <w:tcW w:w="156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3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8" w:type="dxa"/>
            <w:vAlign w:val="top"/>
          </w:tcPr>
          <w:p>
            <w:pPr>
              <w:pStyle w:val="TableText"/>
              <w:ind w:left="746"/>
              <w:spacing w:before="61" w:line="22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5"/>
              </w:rPr>
              <w:t>合</w:t>
            </w:r>
            <w:r>
              <w:rPr>
                <w:sz w:val="20"/>
                <w:szCs w:val="20"/>
                <w:spacing w:val="8"/>
              </w:rPr>
              <w:t xml:space="preserve"> </w:t>
            </w:r>
            <w:r>
              <w:rPr>
                <w:sz w:val="20"/>
                <w:szCs w:val="20"/>
                <w:spacing w:val="-5"/>
              </w:rPr>
              <w:t>计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238"/>
              <w:spacing w:before="59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基本支出</w:t>
            </w:r>
          </w:p>
        </w:tc>
        <w:tc>
          <w:tcPr>
            <w:tcW w:w="1264" w:type="dxa"/>
            <w:vAlign w:val="top"/>
          </w:tcPr>
          <w:p>
            <w:pPr>
              <w:pStyle w:val="TableText"/>
              <w:ind w:left="229"/>
              <w:spacing w:before="60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项目支出</w:t>
            </w:r>
          </w:p>
        </w:tc>
      </w:tr>
      <w:tr>
        <w:trPr>
          <w:trHeight w:val="308" w:hRule="atLeast"/>
        </w:trPr>
        <w:tc>
          <w:tcPr>
            <w:tcW w:w="1563" w:type="dxa"/>
            <w:vAlign w:val="top"/>
          </w:tcPr>
          <w:p>
            <w:pPr>
              <w:pStyle w:val="TableText"/>
              <w:ind w:left="715"/>
              <w:spacing w:before="109" w:line="153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  <w:spacing w:val="-1"/>
                <w:position w:val="1"/>
              </w:rPr>
              <w:t>**</w:t>
            </w:r>
          </w:p>
        </w:tc>
        <w:tc>
          <w:tcPr>
            <w:tcW w:w="4336" w:type="dxa"/>
            <w:vAlign w:val="top"/>
          </w:tcPr>
          <w:p>
            <w:pPr>
              <w:pStyle w:val="TableText"/>
              <w:ind w:left="2102"/>
              <w:spacing w:before="109" w:line="153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  <w:spacing w:val="-1"/>
                <w:position w:val="1"/>
              </w:rPr>
              <w:t>**</w:t>
            </w:r>
          </w:p>
        </w:tc>
        <w:tc>
          <w:tcPr>
            <w:tcW w:w="2008" w:type="dxa"/>
            <w:vAlign w:val="top"/>
          </w:tcPr>
          <w:p>
            <w:pPr>
              <w:pStyle w:val="TableText"/>
              <w:ind w:left="946"/>
              <w:spacing w:before="112" w:line="17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8"/>
              <w:spacing w:before="113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4" w:type="dxa"/>
            <w:vAlign w:val="top"/>
          </w:tcPr>
          <w:p>
            <w:pPr>
              <w:pStyle w:val="TableText"/>
              <w:ind w:left="579"/>
              <w:spacing w:before="113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309" w:hRule="atLeast"/>
        </w:trPr>
        <w:tc>
          <w:tcPr>
            <w:tcW w:w="15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36" w:type="dxa"/>
            <w:vAlign w:val="top"/>
          </w:tcPr>
          <w:p>
            <w:pPr>
              <w:pStyle w:val="TableText"/>
              <w:ind w:left="122"/>
              <w:spacing w:before="65"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合计</w:t>
            </w:r>
          </w:p>
        </w:tc>
        <w:tc>
          <w:tcPr>
            <w:tcW w:w="2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8" w:hRule="atLeast"/>
        </w:trPr>
        <w:tc>
          <w:tcPr>
            <w:tcW w:w="15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3" w:hRule="atLeast"/>
        </w:trPr>
        <w:tc>
          <w:tcPr>
            <w:tcW w:w="15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25"/>
        <w:spacing w:before="39" w:line="220" w:lineRule="auto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-11"/>
        </w:rPr>
        <w:t>备注：本部门没有政府性基金预算拨款安排的支出，故本</w:t>
      </w:r>
      <w:r>
        <w:rPr>
          <w:rFonts w:ascii="FangSong" w:hAnsi="FangSong" w:eastAsia="FangSong" w:cs="FangSong"/>
          <w:sz w:val="21"/>
          <w:szCs w:val="21"/>
          <w:spacing w:val="-12"/>
        </w:rPr>
        <w:t>表无数据。</w:t>
      </w:r>
    </w:p>
    <w:p>
      <w:pPr>
        <w:spacing w:line="220" w:lineRule="auto"/>
        <w:sectPr>
          <w:footerReference w:type="default" r:id="rId19"/>
          <w:pgSz w:w="11910" w:h="16840"/>
          <w:pgMar w:top="714" w:right="706" w:bottom="1117" w:left="714" w:header="0" w:footer="991" w:gutter="0"/>
        </w:sectPr>
        <w:rPr>
          <w:rFonts w:ascii="FangSong" w:hAnsi="FangSong" w:eastAsia="FangSong" w:cs="FangSong"/>
          <w:sz w:val="21"/>
          <w:szCs w:val="21"/>
        </w:rPr>
      </w:pPr>
    </w:p>
    <w:p>
      <w:pPr>
        <w:spacing w:before="43" w:line="222" w:lineRule="auto"/>
        <w:jc w:val="right"/>
        <w:rPr>
          <w:rFonts w:ascii="FangSong" w:hAnsi="FangSong" w:eastAsia="FangSong" w:cs="FangSong"/>
          <w:sz w:val="21"/>
          <w:szCs w:val="21"/>
        </w:rPr>
      </w:pPr>
      <w:r>
        <w:rPr>
          <w:rFonts w:ascii="FangSong" w:hAnsi="FangSong" w:eastAsia="FangSong" w:cs="FangSong"/>
          <w:sz w:val="21"/>
          <w:szCs w:val="21"/>
          <w:spacing w:val="14"/>
        </w:rPr>
        <w:t>公开表9</w:t>
      </w:r>
    </w:p>
    <w:p>
      <w:pPr>
        <w:ind w:left="1721"/>
        <w:spacing w:before="125" w:line="222" w:lineRule="auto"/>
        <w:outlineLvl w:val="1"/>
        <w:rPr>
          <w:rFonts w:ascii="FangSong" w:hAnsi="FangSong" w:eastAsia="FangSong" w:cs="FangSong"/>
          <w:sz w:val="43"/>
          <w:szCs w:val="43"/>
        </w:rPr>
      </w:pPr>
      <w:bookmarkStart w:name="bookmark41" w:id="76"/>
      <w:bookmarkEnd w:id="76"/>
      <w:bookmarkStart w:name="bookmark25" w:id="77"/>
      <w:bookmarkEnd w:id="77"/>
      <w:r>
        <w:rPr>
          <w:rFonts w:ascii="FangSong" w:hAnsi="FangSong" w:eastAsia="FangSong" w:cs="FangSong"/>
          <w:sz w:val="43"/>
          <w:szCs w:val="43"/>
          <w:b/>
          <w:bCs/>
        </w:rPr>
        <w:t>2025年部门国有资本经营预算支出表</w:t>
      </w:r>
    </w:p>
    <w:p>
      <w:pPr>
        <w:pStyle w:val="BodyText"/>
        <w:ind w:left="125"/>
        <w:spacing w:before="54" w:line="229" w:lineRule="auto"/>
        <w:rPr>
          <w:sz w:val="21"/>
          <w:szCs w:val="21"/>
        </w:rPr>
      </w:pPr>
      <w:r>
        <w:rPr>
          <w:sz w:val="21"/>
          <w:szCs w:val="21"/>
          <w:spacing w:val="1"/>
        </w:rPr>
        <w:t>部门名称：台州市新闻传媒中心                                          </w:t>
      </w:r>
      <w:r>
        <w:rPr>
          <w:sz w:val="21"/>
          <w:szCs w:val="21"/>
        </w:rPr>
        <w:t xml:space="preserve">                 单位：万元</w:t>
      </w:r>
    </w:p>
    <w:p>
      <w:pPr>
        <w:spacing w:line="75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4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223"/>
        <w:gridCol w:w="5445"/>
        <w:gridCol w:w="2742"/>
      </w:tblGrid>
      <w:tr>
        <w:trPr>
          <w:trHeight w:val="622" w:hRule="atLeast"/>
        </w:trPr>
        <w:tc>
          <w:tcPr>
            <w:tcW w:w="2223" w:type="dxa"/>
            <w:vAlign w:val="top"/>
          </w:tcPr>
          <w:p>
            <w:pPr>
              <w:pStyle w:val="TableText"/>
              <w:ind w:left="705"/>
              <w:spacing w:before="211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科目编码</w:t>
            </w:r>
          </w:p>
        </w:tc>
        <w:tc>
          <w:tcPr>
            <w:tcW w:w="5445" w:type="dxa"/>
            <w:vAlign w:val="top"/>
          </w:tcPr>
          <w:p>
            <w:pPr>
              <w:pStyle w:val="TableText"/>
              <w:ind w:left="2301"/>
              <w:spacing w:before="211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科目名称</w:t>
            </w:r>
          </w:p>
        </w:tc>
        <w:tc>
          <w:tcPr>
            <w:tcW w:w="2742" w:type="dxa"/>
            <w:vAlign w:val="top"/>
          </w:tcPr>
          <w:p>
            <w:pPr>
              <w:pStyle w:val="TableText"/>
              <w:ind w:left="976"/>
              <w:spacing w:before="213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项目支出</w:t>
            </w:r>
          </w:p>
        </w:tc>
      </w:tr>
      <w:tr>
        <w:trPr>
          <w:trHeight w:val="308" w:hRule="atLeast"/>
        </w:trPr>
        <w:tc>
          <w:tcPr>
            <w:tcW w:w="2223" w:type="dxa"/>
            <w:vAlign w:val="top"/>
          </w:tcPr>
          <w:p>
            <w:pPr>
              <w:pStyle w:val="TableText"/>
              <w:ind w:left="1004"/>
              <w:spacing w:before="81"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**</w:t>
            </w:r>
          </w:p>
        </w:tc>
        <w:tc>
          <w:tcPr>
            <w:tcW w:w="5445" w:type="dxa"/>
            <w:vAlign w:val="top"/>
          </w:tcPr>
          <w:p>
            <w:pPr>
              <w:pStyle w:val="TableText"/>
              <w:ind w:left="2611"/>
              <w:spacing w:before="81"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**</w:t>
            </w:r>
          </w:p>
        </w:tc>
        <w:tc>
          <w:tcPr>
            <w:tcW w:w="2742" w:type="dxa"/>
            <w:vAlign w:val="top"/>
          </w:tcPr>
          <w:p>
            <w:pPr>
              <w:pStyle w:val="TableText"/>
              <w:ind w:left="1307"/>
              <w:spacing w:before="111" w:line="17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22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45" w:type="dxa"/>
            <w:vAlign w:val="top"/>
          </w:tcPr>
          <w:p>
            <w:pPr>
              <w:pStyle w:val="TableText"/>
              <w:ind w:left="102"/>
              <w:spacing w:before="55"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合计</w:t>
            </w:r>
          </w:p>
        </w:tc>
        <w:tc>
          <w:tcPr>
            <w:tcW w:w="2742" w:type="dxa"/>
            <w:vAlign w:val="top"/>
          </w:tcPr>
          <w:p>
            <w:pPr>
              <w:pStyle w:val="TableText"/>
              <w:ind w:left="2157"/>
              <w:spacing w:before="104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</w:tr>
      <w:tr>
        <w:trPr>
          <w:trHeight w:val="328" w:hRule="atLeast"/>
        </w:trPr>
        <w:tc>
          <w:tcPr>
            <w:tcW w:w="2223" w:type="dxa"/>
            <w:vAlign w:val="top"/>
          </w:tcPr>
          <w:p>
            <w:pPr>
              <w:pStyle w:val="TableText"/>
              <w:ind w:left="85"/>
              <w:spacing w:before="126" w:line="17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223</w:t>
            </w:r>
          </w:p>
        </w:tc>
        <w:tc>
          <w:tcPr>
            <w:tcW w:w="5445" w:type="dxa"/>
            <w:vAlign w:val="top"/>
          </w:tcPr>
          <w:p>
            <w:pPr>
              <w:pStyle w:val="TableText"/>
              <w:ind w:left="102"/>
              <w:spacing w:before="72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国有资本经营预算支出</w:t>
            </w:r>
          </w:p>
        </w:tc>
        <w:tc>
          <w:tcPr>
            <w:tcW w:w="2742" w:type="dxa"/>
            <w:vAlign w:val="top"/>
          </w:tcPr>
          <w:p>
            <w:pPr>
              <w:pStyle w:val="TableText"/>
              <w:ind w:left="2157"/>
              <w:spacing w:before="126" w:line="17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</w:tr>
      <w:tr>
        <w:trPr>
          <w:trHeight w:val="308" w:hRule="atLeast"/>
        </w:trPr>
        <w:tc>
          <w:tcPr>
            <w:tcW w:w="2223" w:type="dxa"/>
            <w:vAlign w:val="top"/>
          </w:tcPr>
          <w:p>
            <w:pPr>
              <w:pStyle w:val="TableText"/>
              <w:ind w:left="85"/>
              <w:spacing w:before="118" w:line="16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22302</w:t>
            </w:r>
          </w:p>
        </w:tc>
        <w:tc>
          <w:tcPr>
            <w:tcW w:w="5445" w:type="dxa"/>
            <w:vAlign w:val="top"/>
          </w:tcPr>
          <w:p>
            <w:pPr>
              <w:pStyle w:val="TableText"/>
              <w:ind w:left="102"/>
              <w:spacing w:before="65" w:line="21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国有企业资本金注入</w:t>
            </w:r>
          </w:p>
        </w:tc>
        <w:tc>
          <w:tcPr>
            <w:tcW w:w="2742" w:type="dxa"/>
            <w:vAlign w:val="top"/>
          </w:tcPr>
          <w:p>
            <w:pPr>
              <w:pStyle w:val="TableText"/>
              <w:ind w:left="2157"/>
              <w:spacing w:before="118" w:line="16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</w:tr>
      <w:tr>
        <w:trPr>
          <w:trHeight w:val="304" w:hRule="atLeast"/>
        </w:trPr>
        <w:tc>
          <w:tcPr>
            <w:tcW w:w="2223" w:type="dxa"/>
            <w:vAlign w:val="top"/>
          </w:tcPr>
          <w:p>
            <w:pPr>
              <w:pStyle w:val="TableText"/>
              <w:ind w:left="85"/>
              <w:spacing w:before="109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2230299</w:t>
            </w:r>
          </w:p>
        </w:tc>
        <w:tc>
          <w:tcPr>
            <w:tcW w:w="5445" w:type="dxa"/>
            <w:vAlign w:val="top"/>
          </w:tcPr>
          <w:p>
            <w:pPr>
              <w:pStyle w:val="TableText"/>
              <w:ind w:left="102"/>
              <w:spacing w:before="57"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1"/>
              </w:rPr>
              <w:t>其他国有企业资本金注入</w:t>
            </w:r>
          </w:p>
        </w:tc>
        <w:tc>
          <w:tcPr>
            <w:tcW w:w="2742" w:type="dxa"/>
            <w:vAlign w:val="top"/>
          </w:tcPr>
          <w:p>
            <w:pPr>
              <w:pStyle w:val="TableText"/>
              <w:ind w:left="2157"/>
              <w:spacing w:before="109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10" w:h="16840"/>
          <w:pgMar w:top="714" w:right="717" w:bottom="1117" w:left="754" w:header="0" w:footer="991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14474"/>
        <w:spacing w:before="45" w:line="222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4"/>
        </w:rPr>
        <w:t>公开表10</w:t>
      </w:r>
    </w:p>
    <w:p>
      <w:pPr>
        <w:ind w:left="5061"/>
        <w:spacing w:before="113" w:line="222" w:lineRule="auto"/>
        <w:outlineLvl w:val="1"/>
        <w:rPr>
          <w:rFonts w:ascii="FangSong" w:hAnsi="FangSong" w:eastAsia="FangSong" w:cs="FangSong"/>
          <w:sz w:val="43"/>
          <w:szCs w:val="43"/>
        </w:rPr>
      </w:pPr>
      <w:bookmarkStart w:name="bookmark42" w:id="78"/>
      <w:bookmarkEnd w:id="78"/>
      <w:bookmarkStart w:name="bookmark26" w:id="79"/>
      <w:bookmarkEnd w:id="79"/>
      <w:r>
        <w:rPr>
          <w:rFonts w:ascii="FangSong" w:hAnsi="FangSong" w:eastAsia="FangSong" w:cs="FangSong"/>
          <w:sz w:val="43"/>
          <w:szCs w:val="43"/>
          <w:b/>
          <w:bCs/>
          <w:spacing w:val="-2"/>
        </w:rPr>
        <w:t>2025年部门项目支出预算表</w:t>
      </w:r>
    </w:p>
    <w:p>
      <w:pPr>
        <w:pStyle w:val="BodyText"/>
        <w:ind w:left="135"/>
        <w:spacing w:before="95" w:line="221" w:lineRule="auto"/>
        <w:rPr>
          <w:sz w:val="20"/>
          <w:szCs w:val="20"/>
        </w:rPr>
      </w:pPr>
      <w:r>
        <w:rPr>
          <w:sz w:val="20"/>
          <w:szCs w:val="20"/>
          <w:spacing w:val="1"/>
          <w:position w:val="1"/>
        </w:rPr>
        <w:t>部门名称：台州市新闻传媒中心                                                                                       </w:t>
      </w:r>
      <w:r>
        <w:rPr>
          <w:sz w:val="20"/>
          <w:szCs w:val="20"/>
          <w:position w:val="1"/>
        </w:rPr>
        <w:t xml:space="preserve">                          </w:t>
      </w:r>
      <w:r>
        <w:rPr>
          <w:sz w:val="20"/>
          <w:szCs w:val="20"/>
          <w:position w:val="-3"/>
        </w:rPr>
        <w:t>单位：万元</w:t>
      </w:r>
    </w:p>
    <w:p>
      <w:pPr>
        <w:spacing w:line="80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540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103"/>
        <w:gridCol w:w="4357"/>
        <w:gridCol w:w="1549"/>
        <w:gridCol w:w="1479"/>
        <w:gridCol w:w="1229"/>
        <w:gridCol w:w="1169"/>
        <w:gridCol w:w="1179"/>
        <w:gridCol w:w="1344"/>
      </w:tblGrid>
      <w:tr>
        <w:trPr>
          <w:trHeight w:val="1121" w:hRule="atLeast"/>
        </w:trPr>
        <w:tc>
          <w:tcPr>
            <w:tcW w:w="3103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4"/>
              <w:spacing w:before="65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单位名称</w:t>
            </w:r>
          </w:p>
        </w:tc>
        <w:tc>
          <w:tcPr>
            <w:tcW w:w="4357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72"/>
              <w:spacing w:before="65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项目名称</w:t>
            </w:r>
          </w:p>
        </w:tc>
        <w:tc>
          <w:tcPr>
            <w:tcW w:w="1549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65" w:line="22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4"/>
              </w:rPr>
              <w:t>总计</w:t>
            </w:r>
          </w:p>
        </w:tc>
        <w:tc>
          <w:tcPr>
            <w:tcW w:w="1479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65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1"/>
              </w:rPr>
              <w:t>一般公共预算</w:t>
            </w:r>
          </w:p>
        </w:tc>
        <w:tc>
          <w:tcPr>
            <w:tcW w:w="1229" w:type="dxa"/>
            <w:vAlign w:val="top"/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/>
              <w:spacing w:before="65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政府性基金</w:t>
            </w:r>
          </w:p>
        </w:tc>
        <w:tc>
          <w:tcPr>
            <w:tcW w:w="1169" w:type="dxa"/>
            <w:vAlign w:val="top"/>
          </w:tcPr>
          <w:p>
            <w:pPr>
              <w:pStyle w:val="TableText"/>
              <w:ind w:left="177" w:right="171"/>
              <w:spacing w:before="303" w:line="27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国有资本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pacing w:val="-2"/>
              </w:rPr>
              <w:t>经营预算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188" w:right="152"/>
              <w:spacing w:before="303" w:line="27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6"/>
              </w:rPr>
              <w:t>财政专户</w:t>
            </w:r>
            <w:r>
              <w:rPr>
                <w:sz w:val="20"/>
                <w:szCs w:val="20"/>
                <w:spacing w:val="2"/>
              </w:rPr>
              <w:t xml:space="preserve"> </w:t>
            </w:r>
            <w:r>
              <w:rPr>
                <w:sz w:val="20"/>
                <w:szCs w:val="20"/>
                <w:spacing w:val="2"/>
              </w:rPr>
              <w:t>管理资金</w:t>
            </w:r>
          </w:p>
        </w:tc>
        <w:tc>
          <w:tcPr>
            <w:tcW w:w="1344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9"/>
              <w:spacing w:before="65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单位资金</w:t>
            </w:r>
          </w:p>
        </w:tc>
      </w:tr>
      <w:tr>
        <w:trPr>
          <w:trHeight w:val="299" w:hRule="atLeast"/>
        </w:trPr>
        <w:tc>
          <w:tcPr>
            <w:tcW w:w="3103" w:type="dxa"/>
            <w:vAlign w:val="top"/>
          </w:tcPr>
          <w:p>
            <w:pPr>
              <w:pStyle w:val="TableText"/>
              <w:ind w:left="1455"/>
              <w:spacing w:before="72"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**</w:t>
            </w:r>
          </w:p>
        </w:tc>
        <w:tc>
          <w:tcPr>
            <w:tcW w:w="4357" w:type="dxa"/>
            <w:vAlign w:val="top"/>
          </w:tcPr>
          <w:p>
            <w:pPr>
              <w:pStyle w:val="TableText"/>
              <w:ind w:left="2062"/>
              <w:spacing w:before="72" w:line="2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**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715"/>
              <w:spacing w:before="102" w:line="17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79" w:type="dxa"/>
            <w:vAlign w:val="top"/>
          </w:tcPr>
          <w:p>
            <w:pPr>
              <w:pStyle w:val="TableText"/>
              <w:ind w:left="676"/>
              <w:spacing w:before="103" w:line="17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9" w:type="dxa"/>
            <w:vAlign w:val="top"/>
          </w:tcPr>
          <w:p>
            <w:pPr>
              <w:pStyle w:val="TableText"/>
              <w:ind w:left="557"/>
              <w:spacing w:before="103" w:line="17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top"/>
          </w:tcPr>
          <w:p>
            <w:pPr>
              <w:pStyle w:val="TableText"/>
              <w:ind w:left="528"/>
              <w:spacing w:before="103" w:line="17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  <w:vAlign w:val="top"/>
          </w:tcPr>
          <w:p>
            <w:pPr>
              <w:pStyle w:val="TableText"/>
              <w:ind w:left="539"/>
              <w:spacing w:before="104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44" w:type="dxa"/>
            <w:vAlign w:val="top"/>
          </w:tcPr>
          <w:p>
            <w:pPr>
              <w:pStyle w:val="TableText"/>
              <w:ind w:left="620"/>
              <w:spacing w:before="103" w:line="17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>
          <w:trHeight w:val="319" w:hRule="atLeast"/>
        </w:trPr>
        <w:tc>
          <w:tcPr>
            <w:tcW w:w="31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7" w:type="dxa"/>
            <w:vAlign w:val="top"/>
          </w:tcPr>
          <w:p>
            <w:pPr>
              <w:pStyle w:val="TableText"/>
              <w:ind w:left="102"/>
              <w:spacing w:before="64" w:line="22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合计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644"/>
              <w:spacing w:before="90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1,300.23</w:t>
            </w:r>
          </w:p>
        </w:tc>
        <w:tc>
          <w:tcPr>
            <w:tcW w:w="1479" w:type="dxa"/>
            <w:vAlign w:val="top"/>
          </w:tcPr>
          <w:p>
            <w:pPr>
              <w:pStyle w:val="TableText"/>
              <w:ind w:left="596"/>
              <w:spacing w:before="90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1,235.23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ind w:left="618"/>
              <w:spacing w:before="115" w:line="17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3103" w:type="dxa"/>
            <w:vAlign w:val="top"/>
          </w:tcPr>
          <w:p>
            <w:pPr>
              <w:pStyle w:val="TableText"/>
              <w:ind w:left="134"/>
              <w:spacing w:before="63" w:line="21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台州市新闻传媒中心(本级)</w:t>
            </w:r>
          </w:p>
        </w:tc>
        <w:tc>
          <w:tcPr>
            <w:tcW w:w="4357" w:type="dxa"/>
            <w:vAlign w:val="top"/>
          </w:tcPr>
          <w:p>
            <w:pPr>
              <w:pStyle w:val="TableText"/>
              <w:ind w:left="102"/>
              <w:spacing w:before="63" w:line="21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广电公共服务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945"/>
              <w:spacing w:before="115" w:line="16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  <w:tc>
          <w:tcPr>
            <w:tcW w:w="14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ind w:left="618"/>
              <w:spacing w:before="115" w:line="16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" w:hRule="atLeast"/>
        </w:trPr>
        <w:tc>
          <w:tcPr>
            <w:tcW w:w="3103" w:type="dxa"/>
            <w:vAlign w:val="top"/>
          </w:tcPr>
          <w:p>
            <w:pPr>
              <w:pStyle w:val="TableText"/>
              <w:ind w:left="134"/>
              <w:spacing w:before="65"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台州市新闻传媒中心(本级)</w:t>
            </w:r>
          </w:p>
        </w:tc>
        <w:tc>
          <w:tcPr>
            <w:tcW w:w="4357" w:type="dxa"/>
            <w:vAlign w:val="top"/>
          </w:tcPr>
          <w:p>
            <w:pPr>
              <w:pStyle w:val="TableText"/>
              <w:ind w:left="102"/>
              <w:spacing w:before="65"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1"/>
              </w:rPr>
              <w:t>传媒综合业务管理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644"/>
              <w:spacing w:before="92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  <w:tc>
          <w:tcPr>
            <w:tcW w:w="1479" w:type="dxa"/>
            <w:vAlign w:val="top"/>
          </w:tcPr>
          <w:p>
            <w:pPr>
              <w:pStyle w:val="TableText"/>
              <w:ind w:left="596"/>
              <w:spacing w:before="92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3" w:hRule="atLeast"/>
        </w:trPr>
        <w:tc>
          <w:tcPr>
            <w:tcW w:w="3103" w:type="dxa"/>
            <w:vAlign w:val="top"/>
          </w:tcPr>
          <w:p>
            <w:pPr>
              <w:pStyle w:val="TableText"/>
              <w:ind w:left="134"/>
              <w:spacing w:before="65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台州市新闻传媒中心(本级)</w:t>
            </w:r>
          </w:p>
        </w:tc>
        <w:tc>
          <w:tcPr>
            <w:tcW w:w="4357" w:type="dxa"/>
            <w:vAlign w:val="top"/>
          </w:tcPr>
          <w:p>
            <w:pPr>
              <w:pStyle w:val="TableText"/>
              <w:ind w:left="102"/>
              <w:spacing w:before="65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1"/>
              </w:rPr>
              <w:t>传媒产业促进</w:t>
            </w:r>
          </w:p>
        </w:tc>
        <w:tc>
          <w:tcPr>
            <w:tcW w:w="1549" w:type="dxa"/>
            <w:vAlign w:val="top"/>
          </w:tcPr>
          <w:p>
            <w:pPr>
              <w:pStyle w:val="TableText"/>
              <w:ind w:left="845"/>
              <w:spacing w:before="117" w:line="1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  <w:tc>
          <w:tcPr>
            <w:tcW w:w="1479" w:type="dxa"/>
            <w:vAlign w:val="top"/>
          </w:tcPr>
          <w:p>
            <w:pPr>
              <w:pStyle w:val="TableText"/>
              <w:ind w:left="795"/>
              <w:spacing w:before="117" w:line="1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  <w:tc>
          <w:tcPr>
            <w:tcW w:w="12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6840" w:h="11910"/>
          <w:pgMar w:top="712" w:right="665" w:bottom="1117" w:left="754" w:header="0" w:footer="99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5" w:line="222" w:lineRule="auto"/>
        <w:jc w:val="right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2"/>
        </w:rPr>
        <w:t>公开表11</w:t>
      </w:r>
    </w:p>
    <w:p>
      <w:pPr>
        <w:ind w:left="5071"/>
        <w:spacing w:before="123" w:line="222" w:lineRule="auto"/>
        <w:outlineLvl w:val="1"/>
        <w:rPr>
          <w:rFonts w:ascii="FangSong" w:hAnsi="FangSong" w:eastAsia="FangSong" w:cs="FangSong"/>
          <w:sz w:val="42"/>
          <w:szCs w:val="42"/>
        </w:rPr>
      </w:pPr>
      <w:bookmarkStart w:name="bookmark27" w:id="80"/>
      <w:bookmarkEnd w:id="80"/>
      <w:r>
        <w:rPr>
          <w:rFonts w:ascii="FangSong" w:hAnsi="FangSong" w:eastAsia="FangSong" w:cs="FangSong"/>
          <w:sz w:val="42"/>
          <w:szCs w:val="42"/>
          <w:b/>
          <w:bCs/>
          <w:spacing w:val="7"/>
        </w:rPr>
        <w:t>2025年部门项目支出绩效表</w:t>
      </w:r>
    </w:p>
    <w:p>
      <w:pPr>
        <w:pStyle w:val="BodyText"/>
        <w:ind w:left="135"/>
        <w:spacing w:before="48" w:line="227" w:lineRule="auto"/>
        <w:rPr>
          <w:sz w:val="20"/>
          <w:szCs w:val="20"/>
        </w:rPr>
      </w:pPr>
      <w:r>
        <w:rPr>
          <w:sz w:val="20"/>
          <w:szCs w:val="20"/>
          <w:spacing w:val="1"/>
        </w:rPr>
        <w:t>部门名称：台州市新闻传媒中心                                                         </w:t>
      </w:r>
      <w:r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  <w:position w:val="1"/>
        </w:rPr>
        <w:t>单位：万元</w:t>
      </w:r>
    </w:p>
    <w:tbl>
      <w:tblPr>
        <w:tblStyle w:val="TableNormal"/>
        <w:tblW w:w="1531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133"/>
        <w:gridCol w:w="2508"/>
        <w:gridCol w:w="1639"/>
        <w:gridCol w:w="8030"/>
      </w:tblGrid>
      <w:tr>
        <w:trPr>
          <w:trHeight w:val="532" w:hRule="atLeast"/>
        </w:trPr>
        <w:tc>
          <w:tcPr>
            <w:tcW w:w="3133" w:type="dxa"/>
            <w:vAlign w:val="top"/>
          </w:tcPr>
          <w:p>
            <w:pPr>
              <w:pStyle w:val="TableText"/>
              <w:ind w:left="1165"/>
              <w:spacing w:before="173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单位名称</w:t>
            </w:r>
          </w:p>
        </w:tc>
        <w:tc>
          <w:tcPr>
            <w:tcW w:w="2508" w:type="dxa"/>
            <w:vAlign w:val="top"/>
          </w:tcPr>
          <w:p>
            <w:pPr>
              <w:pStyle w:val="TableText"/>
              <w:ind w:left="852"/>
              <w:spacing w:before="173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2"/>
              </w:rPr>
              <w:t>项目名称</w:t>
            </w:r>
          </w:p>
        </w:tc>
        <w:tc>
          <w:tcPr>
            <w:tcW w:w="1639" w:type="dxa"/>
            <w:vAlign w:val="top"/>
          </w:tcPr>
          <w:p>
            <w:pPr>
              <w:pStyle w:val="TableText"/>
              <w:ind w:left="624"/>
              <w:spacing w:before="173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金额</w:t>
            </w:r>
          </w:p>
        </w:tc>
        <w:tc>
          <w:tcPr>
            <w:tcW w:w="8030" w:type="dxa"/>
            <w:vAlign w:val="top"/>
          </w:tcPr>
          <w:p>
            <w:pPr>
              <w:pStyle w:val="TableText"/>
              <w:ind w:left="3624"/>
              <w:spacing w:before="173"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绩效目标</w:t>
            </w:r>
          </w:p>
        </w:tc>
      </w:tr>
      <w:tr>
        <w:trPr>
          <w:trHeight w:val="308" w:hRule="atLeast"/>
        </w:trPr>
        <w:tc>
          <w:tcPr>
            <w:tcW w:w="31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8" w:type="dxa"/>
            <w:vAlign w:val="top"/>
          </w:tcPr>
          <w:p>
            <w:pPr>
              <w:pStyle w:val="TableText"/>
              <w:ind w:left="81"/>
              <w:spacing w:before="62" w:line="21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合计</w:t>
            </w:r>
          </w:p>
        </w:tc>
        <w:tc>
          <w:tcPr>
            <w:tcW w:w="1639" w:type="dxa"/>
            <w:vAlign w:val="top"/>
          </w:tcPr>
          <w:p>
            <w:pPr>
              <w:pStyle w:val="TableText"/>
              <w:ind w:left="754"/>
              <w:spacing w:before="88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1,300.23</w:t>
            </w:r>
          </w:p>
        </w:tc>
        <w:tc>
          <w:tcPr>
            <w:tcW w:w="8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8" w:hRule="atLeast"/>
        </w:trPr>
        <w:tc>
          <w:tcPr>
            <w:tcW w:w="3133" w:type="dxa"/>
            <w:vAlign w:val="top"/>
          </w:tcPr>
          <w:p>
            <w:pPr>
              <w:pStyle w:val="TableText"/>
              <w:ind w:left="115"/>
              <w:spacing w:before="62" w:line="21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台州市新闻传媒中心(本级)</w:t>
            </w:r>
          </w:p>
        </w:tc>
        <w:tc>
          <w:tcPr>
            <w:tcW w:w="2508" w:type="dxa"/>
            <w:vAlign w:val="top"/>
          </w:tcPr>
          <w:p>
            <w:pPr>
              <w:pStyle w:val="TableText"/>
              <w:ind w:left="81"/>
              <w:spacing w:before="62" w:line="21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广电公共服务</w:t>
            </w:r>
          </w:p>
        </w:tc>
        <w:tc>
          <w:tcPr>
            <w:tcW w:w="1639" w:type="dxa"/>
            <w:vAlign w:val="top"/>
          </w:tcPr>
          <w:p>
            <w:pPr>
              <w:pStyle w:val="TableText"/>
              <w:ind w:left="1053"/>
              <w:spacing w:before="114" w:line="16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65.00</w:t>
            </w:r>
          </w:p>
        </w:tc>
        <w:tc>
          <w:tcPr>
            <w:tcW w:w="8030" w:type="dxa"/>
            <w:vAlign w:val="top"/>
          </w:tcPr>
          <w:p>
            <w:pPr>
              <w:pStyle w:val="TableText"/>
              <w:ind w:left="115"/>
              <w:spacing w:before="62" w:line="21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广电公共服务</w:t>
            </w:r>
          </w:p>
        </w:tc>
      </w:tr>
      <w:tr>
        <w:trPr>
          <w:trHeight w:val="318" w:hRule="atLeast"/>
        </w:trPr>
        <w:tc>
          <w:tcPr>
            <w:tcW w:w="3133" w:type="dxa"/>
            <w:vAlign w:val="top"/>
          </w:tcPr>
          <w:p>
            <w:pPr>
              <w:pStyle w:val="TableText"/>
              <w:ind w:left="115"/>
              <w:spacing w:before="63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台州市新闻传媒中心(本级)</w:t>
            </w:r>
          </w:p>
        </w:tc>
        <w:tc>
          <w:tcPr>
            <w:tcW w:w="2508" w:type="dxa"/>
            <w:vAlign w:val="top"/>
          </w:tcPr>
          <w:p>
            <w:pPr>
              <w:pStyle w:val="TableText"/>
              <w:ind w:left="81"/>
              <w:spacing w:before="63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1"/>
              </w:rPr>
              <w:t>传媒综合业务管理</w:t>
            </w:r>
          </w:p>
        </w:tc>
        <w:tc>
          <w:tcPr>
            <w:tcW w:w="1639" w:type="dxa"/>
            <w:vAlign w:val="top"/>
          </w:tcPr>
          <w:p>
            <w:pPr>
              <w:pStyle w:val="TableText"/>
              <w:ind w:left="754"/>
              <w:spacing w:before="92" w:line="18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3"/>
              </w:rPr>
              <w:t>1,008.00</w:t>
            </w:r>
          </w:p>
        </w:tc>
        <w:tc>
          <w:tcPr>
            <w:tcW w:w="8030" w:type="dxa"/>
            <w:vAlign w:val="top"/>
          </w:tcPr>
          <w:p>
            <w:pPr>
              <w:pStyle w:val="TableText"/>
              <w:ind w:left="114"/>
              <w:spacing w:before="63" w:line="21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1"/>
              </w:rPr>
              <w:t>保障传媒大楼和传媒业务运行。</w:t>
            </w:r>
          </w:p>
        </w:tc>
      </w:tr>
      <w:tr>
        <w:trPr>
          <w:trHeight w:val="313" w:hRule="atLeast"/>
        </w:trPr>
        <w:tc>
          <w:tcPr>
            <w:tcW w:w="3133" w:type="dxa"/>
            <w:vAlign w:val="top"/>
          </w:tcPr>
          <w:p>
            <w:pPr>
              <w:pStyle w:val="TableText"/>
              <w:ind w:left="115"/>
              <w:spacing w:before="66"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3"/>
              </w:rPr>
              <w:t>台州市新闻传媒中心(本级)</w:t>
            </w:r>
          </w:p>
        </w:tc>
        <w:tc>
          <w:tcPr>
            <w:tcW w:w="2508" w:type="dxa"/>
            <w:vAlign w:val="top"/>
          </w:tcPr>
          <w:p>
            <w:pPr>
              <w:pStyle w:val="TableText"/>
              <w:ind w:left="81"/>
              <w:spacing w:before="66"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1"/>
              </w:rPr>
              <w:t>传媒产业促进</w:t>
            </w:r>
          </w:p>
        </w:tc>
        <w:tc>
          <w:tcPr>
            <w:tcW w:w="1639" w:type="dxa"/>
            <w:vAlign w:val="top"/>
          </w:tcPr>
          <w:p>
            <w:pPr>
              <w:pStyle w:val="TableText"/>
              <w:ind w:left="953"/>
              <w:spacing w:before="118" w:line="17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-2"/>
              </w:rPr>
              <w:t>227.23</w:t>
            </w:r>
          </w:p>
        </w:tc>
        <w:tc>
          <w:tcPr>
            <w:tcW w:w="8030" w:type="dxa"/>
            <w:vAlign w:val="top"/>
          </w:tcPr>
          <w:p>
            <w:pPr>
              <w:pStyle w:val="TableText"/>
              <w:ind w:left="115"/>
              <w:spacing w:before="66"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推动媒体融合纵深挺进，打造立体式全媒体对外传播新格局。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2"/>
      <w:pgSz w:w="16840" w:h="11910"/>
      <w:pgMar w:top="712" w:right="716" w:bottom="1116" w:left="754" w:header="0" w:footer="98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5"/>
      <w:spacing w:line="177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3"/>
      <w:spacing w:line="170" w:lineRule="auto"/>
      <w:rPr>
        <w:rFonts w:ascii="Times New Roman" w:hAnsi="Times New Roman" w:eastAsia="Times New Roman" w:cs="Times New Roman"/>
        <w:sz w:val="12"/>
        <w:szCs w:val="12"/>
      </w:rPr>
    </w:pPr>
    <w:r>
      <w:rPr>
        <w:rFonts w:ascii="Times New Roman" w:hAnsi="Times New Roman" w:eastAsia="Times New Roman" w:cs="Times New Roman"/>
        <w:sz w:val="12"/>
        <w:szCs w:val="12"/>
        <w:spacing w:val="-4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155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5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144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5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45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5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445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5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195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5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175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5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150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5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155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5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104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5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3"/>
      <w:spacing w:line="177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44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1"/>
      </w:rPr>
      <w:t>20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44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  <w:spacing w:val="-1"/>
      </w:rPr>
      <w:t>21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10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3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13"/>
      <w:spacing w:line="170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13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3"/>
      <w:spacing w:line="170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3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3"/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image" Target="media/image1.png"/><Relationship Id="rId3" Type="http://schemas.openxmlformats.org/officeDocument/2006/relationships/footer" Target="footer3.xml"/><Relationship Id="rId25" Type="http://schemas.openxmlformats.org/officeDocument/2006/relationships/fontTable" Target="fontTable.xml"/><Relationship Id="rId24" Type="http://schemas.openxmlformats.org/officeDocument/2006/relationships/styles" Target="styles.xml"/><Relationship Id="rId23" Type="http://schemas.openxmlformats.org/officeDocument/2006/relationships/settings" Target="settings.xml"/><Relationship Id="rId22" Type="http://schemas.openxmlformats.org/officeDocument/2006/relationships/footer" Target="footer21.xml"/><Relationship Id="rId21" Type="http://schemas.openxmlformats.org/officeDocument/2006/relationships/footer" Target="footer20.xml"/><Relationship Id="rId20" Type="http://schemas.openxmlformats.org/officeDocument/2006/relationships/footer" Target="footer19.xml"/><Relationship Id="rId2" Type="http://schemas.openxmlformats.org/officeDocument/2006/relationships/footer" Target="footer2.xml"/><Relationship Id="rId19" Type="http://schemas.openxmlformats.org/officeDocument/2006/relationships/footer" Target="footer18.xml"/><Relationship Id="rId18" Type="http://schemas.openxmlformats.org/officeDocument/2006/relationships/footer" Target="footer17.xml"/><Relationship Id="rId17" Type="http://schemas.openxmlformats.org/officeDocument/2006/relationships/footer" Target="footer16.xml"/><Relationship Id="rId16" Type="http://schemas.openxmlformats.org/officeDocument/2006/relationships/footer" Target="footer15.xml"/><Relationship Id="rId15" Type="http://schemas.openxmlformats.org/officeDocument/2006/relationships/footer" Target="footer14.xml"/><Relationship Id="rId14" Type="http://schemas.openxmlformats.org/officeDocument/2006/relationships/footer" Target="footer13.xml"/><Relationship Id="rId13" Type="http://schemas.openxmlformats.org/officeDocument/2006/relationships/footer" Target="footer12.xml"/><Relationship Id="rId12" Type="http://schemas.openxmlformats.org/officeDocument/2006/relationships/footer" Target="footer11.xml"/><Relationship Id="rId11" Type="http://schemas.openxmlformats.org/officeDocument/2006/relationships/footer" Target="footer10.xml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2025-03-04T11:41:14Z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2025-03-04T11:41:15</vt:filetime>
  </property>
  <property fmtid="{D5CDD505-2E9C-101B-9397-08002B2CF9AE}" pid="4" name="UsrData">
    <vt:lpwstr>67c676561087f5001f4833b5wl</vt:lpwstr>
  </property>
</Properties>
</file>